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C2ECD">
      <w:pPr>
        <w:keepNext w:val="0"/>
        <w:keepLines w:val="0"/>
        <w:widowControl/>
        <w:numPr>
          <w:ilvl w:val="0"/>
          <w:numId w:val="0"/>
        </w:numPr>
        <w:suppressLineNumbers w:val="0"/>
        <w:spacing w:before="0" w:beforeAutospacing="0" w:after="120" w:afterAutospacing="0" w:line="360" w:lineRule="auto"/>
        <w:ind w:right="0" w:rightChars="0"/>
        <w:jc w:val="both"/>
        <w:rPr>
          <w:rFonts w:hint="eastAsia" w:ascii="宋体" w:hAnsi="宋体" w:eastAsia="宋体" w:cs="宋体"/>
          <w:b/>
          <w:bCs/>
          <w:i w:val="0"/>
          <w:color w:val="auto"/>
          <w:kern w:val="0"/>
          <w:sz w:val="24"/>
          <w:szCs w:val="24"/>
          <w:u w:val="none"/>
          <w:lang w:val="en-US" w:eastAsia="zh-CN"/>
        </w:rPr>
      </w:pPr>
      <w:r>
        <w:rPr>
          <w:rFonts w:hint="eastAsia" w:ascii="宋体" w:hAnsi="宋体" w:eastAsia="宋体" w:cs="宋体"/>
          <w:b/>
          <w:bCs/>
          <w:i w:val="0"/>
          <w:color w:val="auto"/>
          <w:kern w:val="0"/>
          <w:sz w:val="24"/>
          <w:szCs w:val="24"/>
          <w:u w:val="none"/>
          <w:lang w:val="en-US" w:eastAsia="zh-CN"/>
        </w:rPr>
        <w:t>附件1：技术服务标准、要求</w:t>
      </w:r>
    </w:p>
    <w:p w14:paraId="4FE68812">
      <w:pPr>
        <w:keepNext w:val="0"/>
        <w:keepLines w:val="0"/>
        <w:widowControl/>
        <w:numPr>
          <w:ilvl w:val="0"/>
          <w:numId w:val="0"/>
        </w:numPr>
        <w:suppressLineNumbers w:val="0"/>
        <w:spacing w:before="0" w:beforeAutospacing="0" w:after="120" w:afterAutospacing="0" w:line="360" w:lineRule="auto"/>
        <w:ind w:right="0" w:rightChars="0" w:firstLine="482" w:firstLineChars="20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（一）中央空调技术服务标准：</w:t>
      </w:r>
    </w:p>
    <w:p w14:paraId="01725B6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根据国家主管部门发布的</w:t>
      </w:r>
      <w:r>
        <w:rPr>
          <w:rFonts w:hint="eastAsia" w:ascii="宋体" w:hAnsi="宋体" w:eastAsia="宋体" w:cs="宋体"/>
          <w:sz w:val="24"/>
          <w:szCs w:val="24"/>
          <w:lang w:eastAsia="zh-CN"/>
        </w:rPr>
        <w:t>标准执行：</w:t>
      </w:r>
    </w:p>
    <w:p w14:paraId="6F511C72">
      <w:pPr>
        <w:numPr>
          <w:ilvl w:val="0"/>
          <w:numId w:val="0"/>
        </w:num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《公共场所集中空调通风系统清洗消毒规范》WST396-2012</w:t>
      </w:r>
      <w:r>
        <w:rPr>
          <w:rFonts w:hint="eastAsia" w:ascii="宋体" w:hAnsi="宋体" w:eastAsia="宋体" w:cs="宋体"/>
          <w:sz w:val="24"/>
          <w:szCs w:val="24"/>
          <w:lang w:eastAsia="zh-CN"/>
        </w:rPr>
        <w:t>。</w:t>
      </w:r>
    </w:p>
    <w:p w14:paraId="3CEC9768">
      <w:pPr>
        <w:numPr>
          <w:ilvl w:val="0"/>
          <w:numId w:val="0"/>
        </w:num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《公共场所集中空调通风系统卫生规范》WS394-2012</w:t>
      </w:r>
      <w:r>
        <w:rPr>
          <w:rFonts w:hint="eastAsia" w:ascii="宋体" w:hAnsi="宋体" w:eastAsia="宋体" w:cs="宋体"/>
          <w:sz w:val="24"/>
          <w:szCs w:val="24"/>
          <w:lang w:eastAsia="zh-CN"/>
        </w:rPr>
        <w:t>。</w:t>
      </w:r>
    </w:p>
    <w:p w14:paraId="44A904A3">
      <w:pPr>
        <w:numPr>
          <w:ilvl w:val="0"/>
          <w:numId w:val="0"/>
        </w:num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《公共场所集中空调通风系统卫生管理办法》、《医院中央空调系统运行管理》WS488-2016等文件要求</w:t>
      </w:r>
      <w:r>
        <w:rPr>
          <w:rFonts w:hint="eastAsia" w:ascii="宋体" w:hAnsi="宋体" w:eastAsia="宋体" w:cs="宋体"/>
          <w:sz w:val="24"/>
          <w:szCs w:val="24"/>
          <w:lang w:eastAsia="zh-CN"/>
        </w:rPr>
        <w:t>执行。</w:t>
      </w:r>
    </w:p>
    <w:p w14:paraId="1AED0F5A">
      <w:pPr>
        <w:spacing w:line="360" w:lineRule="auto"/>
        <w:ind w:firstLine="480" w:firstLineChars="200"/>
        <w:rPr>
          <w:rFonts w:hint="eastAsia" w:ascii="宋体" w:hAnsi="宋体" w:eastAsia="宋体" w:cs="宋体"/>
          <w:sz w:val="24"/>
          <w:szCs w:val="24"/>
        </w:rPr>
      </w:pPr>
      <w:r>
        <w:rPr>
          <w:rFonts w:hint="eastAsia" w:ascii="宋体" w:hAnsi="宋体" w:eastAsia="宋体" w:cs="宋体"/>
          <w:b w:val="0"/>
          <w:bCs/>
          <w:color w:val="auto"/>
          <w:sz w:val="24"/>
          <w:szCs w:val="24"/>
          <w:lang w:eastAsia="zh-CN"/>
        </w:rPr>
        <w:t>项目完成后，由具有检测资质的第三方专业检测机构验收并出具清洗消毒效果检测报告（检测费用由成交供应商承担）。</w:t>
      </w:r>
      <w:r>
        <w:rPr>
          <w:rFonts w:hint="eastAsia" w:ascii="宋体" w:hAnsi="宋体" w:eastAsia="宋体" w:cs="宋体"/>
          <w:sz w:val="24"/>
          <w:szCs w:val="24"/>
        </w:rPr>
        <w:t>其具体规定的各项卫生质量指标见下表：</w:t>
      </w:r>
    </w:p>
    <w:p w14:paraId="5E0D7E4E">
      <w:pPr>
        <w:numPr>
          <w:ilvl w:val="0"/>
          <w:numId w:val="0"/>
        </w:numPr>
        <w:rPr>
          <w:rFonts w:hint="eastAsia" w:ascii="宋体" w:hAnsi="宋体" w:eastAsia="宋体" w:cs="宋体"/>
          <w:b/>
          <w:bCs/>
          <w:color w:val="000000"/>
          <w:sz w:val="24"/>
          <w:szCs w:val="24"/>
          <w:lang w:val="en-US" w:eastAsia="zh-CN" w:bidi="ar-SA"/>
        </w:rPr>
      </w:pPr>
    </w:p>
    <w:tbl>
      <w:tblPr>
        <w:tblStyle w:val="6"/>
        <w:tblpPr w:leftFromText="180" w:rightFromText="180" w:vertAnchor="text" w:horzAnchor="page" w:tblpX="1605" w:tblpY="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7"/>
        <w:gridCol w:w="1876"/>
        <w:gridCol w:w="1598"/>
        <w:gridCol w:w="1979"/>
      </w:tblGrid>
      <w:tr w14:paraId="1A9A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283" w:type="dxa"/>
            <w:gridSpan w:val="2"/>
          </w:tcPr>
          <w:p w14:paraId="2566732D">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集中空调通风系统送风卫生质量指标</w:t>
            </w:r>
          </w:p>
        </w:tc>
        <w:tc>
          <w:tcPr>
            <w:tcW w:w="3577" w:type="dxa"/>
            <w:gridSpan w:val="2"/>
            <w:tcBorders>
              <w:top w:val="single" w:color="auto" w:sz="4" w:space="0"/>
            </w:tcBorders>
          </w:tcPr>
          <w:p w14:paraId="3F7AAA11">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风管内表面卫生要求</w:t>
            </w:r>
          </w:p>
        </w:tc>
      </w:tr>
      <w:tr w14:paraId="7E1B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407" w:type="dxa"/>
          </w:tcPr>
          <w:p w14:paraId="52511712">
            <w:pPr>
              <w:spacing w:line="560" w:lineRule="exact"/>
              <w:rPr>
                <w:rFonts w:hint="eastAsia" w:ascii="宋体" w:hAnsi="宋体" w:eastAsia="宋体" w:cs="宋体"/>
                <w:sz w:val="24"/>
                <w:szCs w:val="24"/>
              </w:rPr>
            </w:pPr>
            <w:r>
              <w:rPr>
                <w:rFonts w:hint="eastAsia" w:ascii="宋体" w:hAnsi="宋体" w:eastAsia="宋体" w:cs="宋体"/>
                <w:sz w:val="24"/>
                <w:szCs w:val="24"/>
              </w:rPr>
              <w:t>可吸入颗粒物（PM10）</w:t>
            </w:r>
          </w:p>
        </w:tc>
        <w:tc>
          <w:tcPr>
            <w:tcW w:w="1876" w:type="dxa"/>
          </w:tcPr>
          <w:p w14:paraId="7CF23268">
            <w:pPr>
              <w:spacing w:line="560" w:lineRule="exact"/>
              <w:rPr>
                <w:rFonts w:hint="eastAsia" w:ascii="宋体" w:hAnsi="宋体" w:eastAsia="宋体" w:cs="宋体"/>
                <w:sz w:val="24"/>
                <w:szCs w:val="24"/>
              </w:rPr>
            </w:pPr>
            <w:r>
              <w:rPr>
                <w:rFonts w:hint="eastAsia" w:ascii="宋体" w:hAnsi="宋体" w:eastAsia="宋体" w:cs="宋体"/>
                <w:sz w:val="24"/>
                <w:szCs w:val="24"/>
              </w:rPr>
              <w:t>≤0.08mg/ m</w:t>
            </w:r>
            <w:r>
              <w:rPr>
                <w:rFonts w:hint="eastAsia" w:ascii="宋体" w:hAnsi="宋体" w:eastAsia="宋体" w:cs="宋体"/>
                <w:sz w:val="24"/>
                <w:szCs w:val="24"/>
                <w:vertAlign w:val="superscript"/>
              </w:rPr>
              <w:t>2</w:t>
            </w:r>
          </w:p>
        </w:tc>
        <w:tc>
          <w:tcPr>
            <w:tcW w:w="1598" w:type="dxa"/>
          </w:tcPr>
          <w:p w14:paraId="59C989AA">
            <w:pPr>
              <w:spacing w:line="560" w:lineRule="exact"/>
              <w:rPr>
                <w:rFonts w:hint="eastAsia" w:ascii="宋体" w:hAnsi="宋体" w:eastAsia="宋体" w:cs="宋体"/>
                <w:sz w:val="24"/>
                <w:szCs w:val="24"/>
              </w:rPr>
            </w:pPr>
            <w:r>
              <w:rPr>
                <w:rFonts w:hint="eastAsia" w:ascii="宋体" w:hAnsi="宋体" w:eastAsia="宋体" w:cs="宋体"/>
                <w:sz w:val="24"/>
                <w:szCs w:val="24"/>
              </w:rPr>
              <w:t>积尘量</w:t>
            </w:r>
          </w:p>
        </w:tc>
        <w:tc>
          <w:tcPr>
            <w:tcW w:w="1979" w:type="dxa"/>
          </w:tcPr>
          <w:p w14:paraId="06B602AB">
            <w:pPr>
              <w:spacing w:line="560" w:lineRule="exact"/>
              <w:rPr>
                <w:rFonts w:hint="eastAsia" w:ascii="宋体" w:hAnsi="宋体" w:eastAsia="宋体" w:cs="宋体"/>
                <w:sz w:val="24"/>
                <w:szCs w:val="24"/>
              </w:rPr>
            </w:pPr>
            <w:r>
              <w:rPr>
                <w:rFonts w:hint="eastAsia" w:ascii="宋体" w:hAnsi="宋体" w:eastAsia="宋体" w:cs="宋体"/>
                <w:sz w:val="24"/>
                <w:szCs w:val="24"/>
              </w:rPr>
              <w:t>≤1g/ m</w:t>
            </w:r>
            <w:r>
              <w:rPr>
                <w:rFonts w:hint="eastAsia" w:ascii="宋体" w:hAnsi="宋体" w:eastAsia="宋体" w:cs="宋体"/>
                <w:sz w:val="24"/>
                <w:szCs w:val="24"/>
                <w:vertAlign w:val="superscript"/>
              </w:rPr>
              <w:t>2</w:t>
            </w:r>
          </w:p>
        </w:tc>
      </w:tr>
      <w:tr w14:paraId="00B6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407" w:type="dxa"/>
          </w:tcPr>
          <w:p w14:paraId="4790F7DA">
            <w:pPr>
              <w:spacing w:line="560" w:lineRule="exact"/>
              <w:rPr>
                <w:rFonts w:hint="eastAsia" w:ascii="宋体" w:hAnsi="宋体" w:eastAsia="宋体" w:cs="宋体"/>
                <w:sz w:val="24"/>
                <w:szCs w:val="24"/>
              </w:rPr>
            </w:pPr>
            <w:r>
              <w:rPr>
                <w:rFonts w:hint="eastAsia" w:ascii="宋体" w:hAnsi="宋体" w:eastAsia="宋体" w:cs="宋体"/>
                <w:sz w:val="24"/>
                <w:szCs w:val="24"/>
              </w:rPr>
              <w:t>细菌总数</w:t>
            </w:r>
          </w:p>
        </w:tc>
        <w:tc>
          <w:tcPr>
            <w:tcW w:w="1876" w:type="dxa"/>
          </w:tcPr>
          <w:p w14:paraId="4292A91C">
            <w:pPr>
              <w:spacing w:line="560" w:lineRule="exact"/>
              <w:rPr>
                <w:rFonts w:hint="eastAsia" w:ascii="宋体" w:hAnsi="宋体" w:eastAsia="宋体" w:cs="宋体"/>
                <w:sz w:val="24"/>
                <w:szCs w:val="24"/>
              </w:rPr>
            </w:pPr>
            <w:r>
              <w:rPr>
                <w:rFonts w:hint="eastAsia" w:ascii="宋体" w:hAnsi="宋体" w:eastAsia="宋体" w:cs="宋体"/>
                <w:sz w:val="24"/>
                <w:szCs w:val="24"/>
              </w:rPr>
              <w:t>≤500cfu/ m</w:t>
            </w:r>
            <w:r>
              <w:rPr>
                <w:rFonts w:hint="eastAsia" w:ascii="宋体" w:hAnsi="宋体" w:eastAsia="宋体" w:cs="宋体"/>
                <w:sz w:val="24"/>
                <w:szCs w:val="24"/>
                <w:vertAlign w:val="superscript"/>
              </w:rPr>
              <w:t>2</w:t>
            </w:r>
          </w:p>
        </w:tc>
        <w:tc>
          <w:tcPr>
            <w:tcW w:w="1598" w:type="dxa"/>
          </w:tcPr>
          <w:p w14:paraId="5397D2E8">
            <w:pPr>
              <w:spacing w:line="560" w:lineRule="exact"/>
              <w:rPr>
                <w:rFonts w:hint="eastAsia" w:ascii="宋体" w:hAnsi="宋体" w:eastAsia="宋体" w:cs="宋体"/>
                <w:sz w:val="24"/>
                <w:szCs w:val="24"/>
              </w:rPr>
            </w:pPr>
            <w:r>
              <w:rPr>
                <w:rFonts w:hint="eastAsia" w:ascii="宋体" w:hAnsi="宋体" w:eastAsia="宋体" w:cs="宋体"/>
                <w:sz w:val="24"/>
                <w:szCs w:val="24"/>
              </w:rPr>
              <w:t>细菌总数</w:t>
            </w:r>
          </w:p>
        </w:tc>
        <w:tc>
          <w:tcPr>
            <w:tcW w:w="1979" w:type="dxa"/>
          </w:tcPr>
          <w:p w14:paraId="49B629B1">
            <w:pPr>
              <w:spacing w:line="560" w:lineRule="exact"/>
              <w:rPr>
                <w:rFonts w:hint="eastAsia" w:ascii="宋体" w:hAnsi="宋体" w:eastAsia="宋体" w:cs="宋体"/>
                <w:sz w:val="24"/>
                <w:szCs w:val="24"/>
              </w:rPr>
            </w:pPr>
            <w:r>
              <w:rPr>
                <w:rFonts w:hint="eastAsia" w:ascii="宋体" w:hAnsi="宋体" w:eastAsia="宋体" w:cs="宋体"/>
                <w:sz w:val="24"/>
                <w:szCs w:val="24"/>
              </w:rPr>
              <w:t>≤100cfu/c m</w:t>
            </w:r>
            <w:r>
              <w:rPr>
                <w:rFonts w:hint="eastAsia" w:ascii="宋体" w:hAnsi="宋体" w:eastAsia="宋体" w:cs="宋体"/>
                <w:sz w:val="24"/>
                <w:szCs w:val="24"/>
                <w:vertAlign w:val="superscript"/>
              </w:rPr>
              <w:t>2</w:t>
            </w:r>
          </w:p>
        </w:tc>
      </w:tr>
      <w:tr w14:paraId="23B0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407" w:type="dxa"/>
          </w:tcPr>
          <w:p w14:paraId="566A0C87">
            <w:pPr>
              <w:spacing w:line="560" w:lineRule="exact"/>
              <w:rPr>
                <w:rFonts w:hint="eastAsia" w:ascii="宋体" w:hAnsi="宋体" w:eastAsia="宋体" w:cs="宋体"/>
                <w:sz w:val="24"/>
                <w:szCs w:val="24"/>
              </w:rPr>
            </w:pPr>
            <w:r>
              <w:rPr>
                <w:rFonts w:hint="eastAsia" w:ascii="宋体" w:hAnsi="宋体" w:eastAsia="宋体" w:cs="宋体"/>
                <w:sz w:val="24"/>
                <w:szCs w:val="24"/>
              </w:rPr>
              <w:t>真菌总数</w:t>
            </w:r>
          </w:p>
        </w:tc>
        <w:tc>
          <w:tcPr>
            <w:tcW w:w="1876" w:type="dxa"/>
          </w:tcPr>
          <w:p w14:paraId="4B8025CE">
            <w:pPr>
              <w:spacing w:line="560" w:lineRule="exact"/>
              <w:rPr>
                <w:rFonts w:hint="eastAsia" w:ascii="宋体" w:hAnsi="宋体" w:eastAsia="宋体" w:cs="宋体"/>
                <w:sz w:val="24"/>
                <w:szCs w:val="24"/>
              </w:rPr>
            </w:pPr>
            <w:r>
              <w:rPr>
                <w:rFonts w:hint="eastAsia" w:ascii="宋体" w:hAnsi="宋体" w:eastAsia="宋体" w:cs="宋体"/>
                <w:sz w:val="24"/>
                <w:szCs w:val="24"/>
              </w:rPr>
              <w:t>≤500cfu/ m</w:t>
            </w:r>
            <w:r>
              <w:rPr>
                <w:rFonts w:hint="eastAsia" w:ascii="宋体" w:hAnsi="宋体" w:eastAsia="宋体" w:cs="宋体"/>
                <w:sz w:val="24"/>
                <w:szCs w:val="24"/>
                <w:vertAlign w:val="superscript"/>
              </w:rPr>
              <w:t>2</w:t>
            </w:r>
          </w:p>
        </w:tc>
        <w:tc>
          <w:tcPr>
            <w:tcW w:w="1598" w:type="dxa"/>
          </w:tcPr>
          <w:p w14:paraId="2989AC9E">
            <w:pPr>
              <w:spacing w:line="560" w:lineRule="exact"/>
              <w:rPr>
                <w:rFonts w:hint="eastAsia" w:ascii="宋体" w:hAnsi="宋体" w:eastAsia="宋体" w:cs="宋体"/>
                <w:sz w:val="24"/>
                <w:szCs w:val="24"/>
              </w:rPr>
            </w:pPr>
            <w:r>
              <w:rPr>
                <w:rFonts w:hint="eastAsia" w:ascii="宋体" w:hAnsi="宋体" w:eastAsia="宋体" w:cs="宋体"/>
                <w:sz w:val="24"/>
                <w:szCs w:val="24"/>
              </w:rPr>
              <w:t>真菌总数</w:t>
            </w:r>
          </w:p>
        </w:tc>
        <w:tc>
          <w:tcPr>
            <w:tcW w:w="1979" w:type="dxa"/>
          </w:tcPr>
          <w:p w14:paraId="5E066C2D">
            <w:pPr>
              <w:spacing w:line="560" w:lineRule="exact"/>
              <w:rPr>
                <w:rFonts w:hint="eastAsia" w:ascii="宋体" w:hAnsi="宋体" w:eastAsia="宋体" w:cs="宋体"/>
                <w:sz w:val="24"/>
                <w:szCs w:val="24"/>
              </w:rPr>
            </w:pPr>
            <w:r>
              <w:rPr>
                <w:rFonts w:hint="eastAsia" w:ascii="宋体" w:hAnsi="宋体" w:eastAsia="宋体" w:cs="宋体"/>
                <w:sz w:val="24"/>
                <w:szCs w:val="24"/>
              </w:rPr>
              <w:t>≤100cfu/c m</w:t>
            </w:r>
            <w:r>
              <w:rPr>
                <w:rFonts w:hint="eastAsia" w:ascii="宋体" w:hAnsi="宋体" w:eastAsia="宋体" w:cs="宋体"/>
                <w:sz w:val="24"/>
                <w:szCs w:val="24"/>
                <w:vertAlign w:val="superscript"/>
              </w:rPr>
              <w:t>2</w:t>
            </w:r>
          </w:p>
        </w:tc>
      </w:tr>
      <w:tr w14:paraId="691D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407" w:type="dxa"/>
          </w:tcPr>
          <w:p w14:paraId="04C538C5">
            <w:pPr>
              <w:spacing w:line="560" w:lineRule="exact"/>
              <w:rPr>
                <w:rFonts w:hint="eastAsia" w:ascii="宋体" w:hAnsi="宋体" w:eastAsia="宋体" w:cs="宋体"/>
                <w:sz w:val="24"/>
                <w:szCs w:val="24"/>
              </w:rPr>
            </w:pPr>
            <w:r>
              <w:rPr>
                <w:rFonts w:hint="eastAsia" w:ascii="宋体" w:hAnsi="宋体" w:eastAsia="宋体" w:cs="宋体"/>
                <w:sz w:val="24"/>
                <w:szCs w:val="24"/>
              </w:rPr>
              <w:t>B-溶血性链球菌等致病微生物</w:t>
            </w:r>
          </w:p>
        </w:tc>
        <w:tc>
          <w:tcPr>
            <w:tcW w:w="1876" w:type="dxa"/>
          </w:tcPr>
          <w:p w14:paraId="449A672F">
            <w:pPr>
              <w:spacing w:line="560" w:lineRule="exact"/>
              <w:rPr>
                <w:rFonts w:hint="eastAsia" w:ascii="宋体" w:hAnsi="宋体" w:eastAsia="宋体" w:cs="宋体"/>
                <w:sz w:val="24"/>
                <w:szCs w:val="24"/>
              </w:rPr>
            </w:pPr>
            <w:r>
              <w:rPr>
                <w:rFonts w:hint="eastAsia" w:ascii="宋体" w:hAnsi="宋体" w:eastAsia="宋体" w:cs="宋体"/>
                <w:sz w:val="24"/>
                <w:szCs w:val="24"/>
              </w:rPr>
              <w:t>不得检出</w:t>
            </w:r>
          </w:p>
        </w:tc>
        <w:tc>
          <w:tcPr>
            <w:tcW w:w="1598" w:type="dxa"/>
          </w:tcPr>
          <w:p w14:paraId="2738C468">
            <w:pPr>
              <w:spacing w:line="560" w:lineRule="exact"/>
              <w:rPr>
                <w:rFonts w:hint="eastAsia" w:ascii="宋体" w:hAnsi="宋体" w:eastAsia="宋体" w:cs="宋体"/>
                <w:sz w:val="24"/>
                <w:szCs w:val="24"/>
              </w:rPr>
            </w:pPr>
            <w:r>
              <w:rPr>
                <w:rFonts w:hint="eastAsia" w:ascii="宋体" w:hAnsi="宋体" w:eastAsia="宋体" w:cs="宋体"/>
                <w:sz w:val="24"/>
                <w:szCs w:val="24"/>
              </w:rPr>
              <w:t>致病微生物</w:t>
            </w:r>
          </w:p>
        </w:tc>
        <w:tc>
          <w:tcPr>
            <w:tcW w:w="1979" w:type="dxa"/>
          </w:tcPr>
          <w:p w14:paraId="79B4AA7B">
            <w:pPr>
              <w:spacing w:line="560" w:lineRule="exact"/>
              <w:rPr>
                <w:rFonts w:hint="eastAsia" w:ascii="宋体" w:hAnsi="宋体" w:eastAsia="宋体" w:cs="宋体"/>
                <w:sz w:val="24"/>
                <w:szCs w:val="24"/>
              </w:rPr>
            </w:pPr>
            <w:r>
              <w:rPr>
                <w:rFonts w:hint="eastAsia" w:ascii="宋体" w:hAnsi="宋体" w:eastAsia="宋体" w:cs="宋体"/>
                <w:sz w:val="24"/>
                <w:szCs w:val="24"/>
              </w:rPr>
              <w:t>不得检出</w:t>
            </w:r>
          </w:p>
        </w:tc>
      </w:tr>
      <w:tr w14:paraId="1960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07" w:type="dxa"/>
          </w:tcPr>
          <w:p w14:paraId="1DD729CB">
            <w:pPr>
              <w:spacing w:line="560" w:lineRule="exact"/>
              <w:rPr>
                <w:rFonts w:hint="eastAsia" w:ascii="宋体" w:hAnsi="宋体" w:eastAsia="宋体" w:cs="宋体"/>
                <w:sz w:val="24"/>
                <w:szCs w:val="24"/>
              </w:rPr>
            </w:pPr>
            <w:r>
              <w:rPr>
                <w:rFonts w:hint="eastAsia" w:ascii="宋体" w:hAnsi="宋体" w:eastAsia="宋体" w:cs="宋体"/>
                <w:sz w:val="24"/>
                <w:szCs w:val="24"/>
              </w:rPr>
              <w:t>灭菌率</w:t>
            </w:r>
          </w:p>
        </w:tc>
        <w:tc>
          <w:tcPr>
            <w:tcW w:w="1876" w:type="dxa"/>
          </w:tcPr>
          <w:p w14:paraId="535DB33C">
            <w:pPr>
              <w:spacing w:line="560" w:lineRule="exact"/>
              <w:rPr>
                <w:rFonts w:hint="eastAsia" w:ascii="宋体" w:hAnsi="宋体" w:eastAsia="宋体" w:cs="宋体"/>
                <w:sz w:val="24"/>
                <w:szCs w:val="24"/>
              </w:rPr>
            </w:pPr>
            <w:r>
              <w:rPr>
                <w:rFonts w:hint="eastAsia" w:ascii="宋体" w:hAnsi="宋体" w:eastAsia="宋体" w:cs="宋体"/>
                <w:sz w:val="24"/>
                <w:szCs w:val="24"/>
              </w:rPr>
              <w:t>≥90%</w:t>
            </w:r>
          </w:p>
        </w:tc>
        <w:tc>
          <w:tcPr>
            <w:tcW w:w="1598" w:type="dxa"/>
          </w:tcPr>
          <w:p w14:paraId="63402A02">
            <w:pPr>
              <w:spacing w:line="560" w:lineRule="exact"/>
              <w:rPr>
                <w:rFonts w:hint="eastAsia" w:ascii="宋体" w:hAnsi="宋体" w:eastAsia="宋体" w:cs="宋体"/>
                <w:sz w:val="24"/>
                <w:szCs w:val="24"/>
              </w:rPr>
            </w:pPr>
            <w:r>
              <w:rPr>
                <w:rFonts w:hint="eastAsia" w:ascii="宋体" w:hAnsi="宋体" w:eastAsia="宋体" w:cs="宋体"/>
                <w:sz w:val="24"/>
                <w:szCs w:val="24"/>
              </w:rPr>
              <w:t>灭菌率</w:t>
            </w:r>
          </w:p>
        </w:tc>
        <w:tc>
          <w:tcPr>
            <w:tcW w:w="1979" w:type="dxa"/>
          </w:tcPr>
          <w:p w14:paraId="73A83BC2">
            <w:pPr>
              <w:spacing w:line="560" w:lineRule="exact"/>
              <w:rPr>
                <w:rFonts w:hint="eastAsia" w:ascii="宋体" w:hAnsi="宋体" w:eastAsia="宋体" w:cs="宋体"/>
                <w:sz w:val="24"/>
                <w:szCs w:val="24"/>
              </w:rPr>
            </w:pPr>
            <w:r>
              <w:rPr>
                <w:rFonts w:hint="eastAsia" w:ascii="宋体" w:hAnsi="宋体" w:eastAsia="宋体" w:cs="宋体"/>
                <w:sz w:val="24"/>
                <w:szCs w:val="24"/>
              </w:rPr>
              <w:t>≥90%</w:t>
            </w:r>
          </w:p>
        </w:tc>
      </w:tr>
    </w:tbl>
    <w:p w14:paraId="72EF9C7D">
      <w:pPr>
        <w:pStyle w:val="10"/>
        <w:keepNext w:val="0"/>
        <w:keepLines w:val="0"/>
        <w:pageBreakBefore w:val="0"/>
        <w:kinsoku/>
        <w:wordWrap/>
        <w:overflowPunct/>
        <w:topLinePunct w:val="0"/>
        <w:autoSpaceDE/>
        <w:autoSpaceDN/>
        <w:bidi w:val="0"/>
        <w:adjustRightInd/>
        <w:snapToGrid/>
        <w:spacing w:line="400" w:lineRule="atLeast"/>
        <w:ind w:firstLine="241" w:firstLineChars="10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lang w:eastAsia="zh-CN"/>
        </w:rPr>
        <w:t>（二）</w:t>
      </w:r>
      <w:r>
        <w:rPr>
          <w:rFonts w:hint="eastAsia" w:ascii="宋体" w:hAnsi="宋体" w:eastAsia="宋体" w:cs="宋体"/>
          <w:b/>
          <w:sz w:val="24"/>
          <w:szCs w:val="24"/>
        </w:rPr>
        <w:t>净化空调技术服务标准：</w:t>
      </w:r>
    </w:p>
    <w:p w14:paraId="15C7ACEF">
      <w:pPr>
        <w:pStyle w:val="10"/>
        <w:keepNext w:val="0"/>
        <w:keepLines w:val="0"/>
        <w:pageBreakBefore w:val="0"/>
        <w:kinsoku/>
        <w:wordWrap/>
        <w:overflowPunct/>
        <w:topLinePunct w:val="0"/>
        <w:autoSpaceDE/>
        <w:autoSpaceDN/>
        <w:bidi w:val="0"/>
        <w:adjustRightInd/>
        <w:snapToGrid/>
        <w:spacing w:line="400" w:lineRule="atLeas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按要求定期保养净化系统及其设备，使净化系统各项性能符合以下规范中规定或建议达到最新相关技术要求：</w:t>
      </w:r>
    </w:p>
    <w:p w14:paraId="4295F9DB">
      <w:pPr>
        <w:pStyle w:val="10"/>
        <w:keepNext w:val="0"/>
        <w:keepLines w:val="0"/>
        <w:pageBreakBefore w:val="0"/>
        <w:kinsoku/>
        <w:wordWrap/>
        <w:overflowPunct/>
        <w:topLinePunct w:val="0"/>
        <w:autoSpaceDE/>
        <w:autoSpaceDN/>
        <w:bidi w:val="0"/>
        <w:adjustRightInd/>
        <w:snapToGrid/>
        <w:spacing w:line="400" w:lineRule="atLeast"/>
        <w:ind w:firstLine="48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《医院洁净手术部建筑技术规范》GB50333-2013</w:t>
      </w:r>
    </w:p>
    <w:p w14:paraId="4AD54F3B">
      <w:pPr>
        <w:pStyle w:val="10"/>
        <w:keepNext w:val="0"/>
        <w:keepLines w:val="0"/>
        <w:pageBreakBefore w:val="0"/>
        <w:kinsoku/>
        <w:wordWrap/>
        <w:overflowPunct/>
        <w:topLinePunct w:val="0"/>
        <w:autoSpaceDE/>
        <w:autoSpaceDN/>
        <w:bidi w:val="0"/>
        <w:adjustRightInd/>
        <w:snapToGrid/>
        <w:spacing w:line="400" w:lineRule="atLeast"/>
        <w:ind w:firstLine="48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《医院空气净化管理规范》WS/T 368-2012</w:t>
      </w:r>
    </w:p>
    <w:p w14:paraId="7328EC0D">
      <w:pPr>
        <w:pStyle w:val="10"/>
        <w:keepNext w:val="0"/>
        <w:keepLines w:val="0"/>
        <w:pageBreakBefore w:val="0"/>
        <w:kinsoku/>
        <w:wordWrap/>
        <w:overflowPunct/>
        <w:topLinePunct w:val="0"/>
        <w:autoSpaceDE/>
        <w:autoSpaceDN/>
        <w:bidi w:val="0"/>
        <w:adjustRightInd/>
        <w:snapToGrid/>
        <w:spacing w:line="400" w:lineRule="atLeast"/>
        <w:ind w:firstLine="48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《医疗机构消毒技术规范》WS/T 367-2012</w:t>
      </w:r>
      <w:r>
        <w:rPr>
          <w:rFonts w:hint="eastAsia" w:ascii="宋体" w:hAnsi="宋体" w:eastAsia="宋体" w:cs="宋体"/>
          <w:b/>
          <w:sz w:val="24"/>
          <w:szCs w:val="24"/>
        </w:rPr>
        <w:t xml:space="preserve"> </w:t>
      </w:r>
    </w:p>
    <w:p w14:paraId="1317CB75">
      <w:pPr>
        <w:keepNext w:val="0"/>
        <w:keepLines w:val="0"/>
        <w:pageBreakBefore w:val="0"/>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sz w:val="24"/>
          <w:szCs w:val="24"/>
        </w:rPr>
      </w:pPr>
      <w:r>
        <w:rPr>
          <w:rFonts w:hint="eastAsia" w:ascii="宋体" w:hAnsi="宋体" w:eastAsia="宋体" w:cs="宋体"/>
          <w:b w:val="0"/>
          <w:bCs/>
          <w:color w:val="auto"/>
          <w:sz w:val="24"/>
          <w:szCs w:val="24"/>
          <w:lang w:eastAsia="zh-CN"/>
        </w:rPr>
        <w:t>项目完成后，由具有检测资质的第三方专业检测机构验收并出具检测报告（检测费用由成交供应商承担）。</w:t>
      </w:r>
      <w:r>
        <w:rPr>
          <w:rFonts w:hint="eastAsia" w:ascii="宋体" w:hAnsi="宋体" w:eastAsia="宋体" w:cs="宋体"/>
          <w:sz w:val="24"/>
          <w:szCs w:val="24"/>
        </w:rPr>
        <w:t>其具体规定的各项质量指标见下表：</w:t>
      </w:r>
    </w:p>
    <w:p w14:paraId="23650A27">
      <w:pPr>
        <w:ind w:left="0" w:leftChars="0" w:firstLine="0" w:firstLineChars="0"/>
        <w:rPr>
          <w:rFonts w:hint="eastAsia" w:ascii="宋体" w:hAnsi="宋体" w:eastAsia="宋体" w:cs="宋体"/>
          <w:sz w:val="24"/>
          <w:szCs w:val="24"/>
        </w:rPr>
      </w:pPr>
      <w:r>
        <w:rPr>
          <w:rFonts w:hint="eastAsia" w:ascii="宋体" w:hAnsi="宋体" w:eastAsia="宋体" w:cs="宋体"/>
          <w:b w:val="0"/>
          <w:bCs w:val="0"/>
          <w:color w:val="000000"/>
          <w:sz w:val="24"/>
          <w:szCs w:val="24"/>
          <w:lang w:val="en-US" w:eastAsia="zh-CN" w:bidi="ar-SA"/>
        </w:rPr>
        <w:t>（1）《洁净手术部建筑技术规范标准GB50333-2013》</w:t>
      </w:r>
    </w:p>
    <w:tbl>
      <w:tblPr>
        <w:tblStyle w:val="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846"/>
        <w:gridCol w:w="855"/>
        <w:gridCol w:w="993"/>
        <w:gridCol w:w="850"/>
        <w:gridCol w:w="851"/>
        <w:gridCol w:w="1134"/>
        <w:gridCol w:w="567"/>
        <w:gridCol w:w="708"/>
        <w:gridCol w:w="709"/>
      </w:tblGrid>
      <w:tr w14:paraId="7834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276" w:type="dxa"/>
            <w:vAlign w:val="center"/>
          </w:tcPr>
          <w:p w14:paraId="02FF93B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名称</w:t>
            </w:r>
          </w:p>
        </w:tc>
        <w:tc>
          <w:tcPr>
            <w:tcW w:w="846" w:type="dxa"/>
            <w:vAlign w:val="center"/>
          </w:tcPr>
          <w:p w14:paraId="4DAA7B0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室内压力</w:t>
            </w:r>
          </w:p>
        </w:tc>
        <w:tc>
          <w:tcPr>
            <w:tcW w:w="855" w:type="dxa"/>
            <w:vAlign w:val="center"/>
          </w:tcPr>
          <w:p w14:paraId="6017770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最小换气次数(次/h)</w:t>
            </w:r>
          </w:p>
        </w:tc>
        <w:tc>
          <w:tcPr>
            <w:tcW w:w="993" w:type="dxa"/>
            <w:vAlign w:val="center"/>
          </w:tcPr>
          <w:p w14:paraId="19FCE3E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工作区平均风速(m/s)</w:t>
            </w:r>
          </w:p>
        </w:tc>
        <w:tc>
          <w:tcPr>
            <w:tcW w:w="850" w:type="dxa"/>
            <w:vAlign w:val="center"/>
          </w:tcPr>
          <w:p w14:paraId="283436E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温度(℃)</w:t>
            </w:r>
          </w:p>
        </w:tc>
        <w:tc>
          <w:tcPr>
            <w:tcW w:w="851" w:type="dxa"/>
            <w:vAlign w:val="center"/>
          </w:tcPr>
          <w:p w14:paraId="151D891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相对湿度(%)</w:t>
            </w:r>
          </w:p>
        </w:tc>
        <w:tc>
          <w:tcPr>
            <w:tcW w:w="1134" w:type="dxa"/>
            <w:vAlign w:val="center"/>
          </w:tcPr>
          <w:p w14:paraId="26CED3C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最小新风量m</w:t>
            </w:r>
            <w:r>
              <w:rPr>
                <w:rFonts w:hint="eastAsia" w:ascii="宋体" w:hAnsi="宋体" w:eastAsia="宋体" w:cs="宋体"/>
                <w:color w:val="000000"/>
                <w:kern w:val="2"/>
                <w:sz w:val="24"/>
                <w:szCs w:val="24"/>
                <w:vertAlign w:val="superscript"/>
                <w:lang w:eastAsia="zh-CN" w:bidi="ar-SA"/>
              </w:rPr>
              <w:t>3</w:t>
            </w:r>
            <w:r>
              <w:rPr>
                <w:rFonts w:hint="eastAsia" w:ascii="宋体" w:hAnsi="宋体" w:eastAsia="宋体" w:cs="宋体"/>
                <w:color w:val="000000"/>
                <w:kern w:val="2"/>
                <w:sz w:val="24"/>
                <w:szCs w:val="24"/>
                <w:lang w:eastAsia="zh-CN" w:bidi="ar-SA"/>
              </w:rPr>
              <w:t>/h.m</w:t>
            </w:r>
            <w:r>
              <w:rPr>
                <w:rFonts w:hint="eastAsia" w:ascii="宋体" w:hAnsi="宋体" w:eastAsia="宋体" w:cs="宋体"/>
                <w:color w:val="000000"/>
                <w:kern w:val="2"/>
                <w:sz w:val="24"/>
                <w:szCs w:val="24"/>
                <w:vertAlign w:val="superscript"/>
                <w:lang w:eastAsia="zh-CN" w:bidi="ar-SA"/>
              </w:rPr>
              <w:t>2</w:t>
            </w:r>
            <w:r>
              <w:rPr>
                <w:rFonts w:hint="eastAsia" w:ascii="宋体" w:hAnsi="宋体" w:eastAsia="宋体" w:cs="宋体"/>
                <w:color w:val="000000"/>
                <w:kern w:val="2"/>
                <w:sz w:val="24"/>
                <w:szCs w:val="24"/>
                <w:lang w:eastAsia="zh-CN" w:bidi="ar-SA"/>
              </w:rPr>
              <w:t>或次/h（仅指本栏括号中数据）</w:t>
            </w:r>
          </w:p>
        </w:tc>
        <w:tc>
          <w:tcPr>
            <w:tcW w:w="567" w:type="dxa"/>
            <w:vAlign w:val="center"/>
          </w:tcPr>
          <w:p w14:paraId="01F1F91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噪声dB(A)</w:t>
            </w:r>
          </w:p>
        </w:tc>
        <w:tc>
          <w:tcPr>
            <w:tcW w:w="708" w:type="dxa"/>
            <w:vAlign w:val="center"/>
          </w:tcPr>
          <w:p w14:paraId="344339F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最低照度(lx)</w:t>
            </w:r>
          </w:p>
        </w:tc>
        <w:tc>
          <w:tcPr>
            <w:tcW w:w="709" w:type="dxa"/>
            <w:vAlign w:val="center"/>
          </w:tcPr>
          <w:p w14:paraId="4667724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最少术间自净时间min</w:t>
            </w:r>
          </w:p>
        </w:tc>
      </w:tr>
      <w:tr w14:paraId="4685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76" w:type="dxa"/>
            <w:vAlign w:val="center"/>
          </w:tcPr>
          <w:p w14:paraId="77D0C9C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Ⅰ级洁净手术室和需要无菌操作的特殊用房</w:t>
            </w:r>
          </w:p>
        </w:tc>
        <w:tc>
          <w:tcPr>
            <w:tcW w:w="846" w:type="dxa"/>
            <w:vAlign w:val="center"/>
          </w:tcPr>
          <w:p w14:paraId="087BC51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068E28B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993" w:type="dxa"/>
            <w:vAlign w:val="center"/>
          </w:tcPr>
          <w:p w14:paraId="63C0F1B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0.20～0.25</w:t>
            </w:r>
          </w:p>
        </w:tc>
        <w:tc>
          <w:tcPr>
            <w:tcW w:w="850" w:type="dxa"/>
            <w:vAlign w:val="center"/>
          </w:tcPr>
          <w:p w14:paraId="7A4B41D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21～25</w:t>
            </w:r>
          </w:p>
        </w:tc>
        <w:tc>
          <w:tcPr>
            <w:tcW w:w="851" w:type="dxa"/>
            <w:vAlign w:val="center"/>
          </w:tcPr>
          <w:p w14:paraId="1255204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30～60</w:t>
            </w:r>
          </w:p>
        </w:tc>
        <w:tc>
          <w:tcPr>
            <w:tcW w:w="1134" w:type="dxa"/>
            <w:vAlign w:val="center"/>
          </w:tcPr>
          <w:p w14:paraId="4524BD6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15～20</w:t>
            </w:r>
          </w:p>
        </w:tc>
        <w:tc>
          <w:tcPr>
            <w:tcW w:w="567" w:type="dxa"/>
            <w:vAlign w:val="center"/>
          </w:tcPr>
          <w:p w14:paraId="027C8D9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≤51</w:t>
            </w:r>
          </w:p>
        </w:tc>
        <w:tc>
          <w:tcPr>
            <w:tcW w:w="708" w:type="dxa"/>
            <w:vAlign w:val="center"/>
          </w:tcPr>
          <w:p w14:paraId="3BD0F66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≥350</w:t>
            </w:r>
          </w:p>
        </w:tc>
        <w:tc>
          <w:tcPr>
            <w:tcW w:w="709" w:type="dxa"/>
            <w:vAlign w:val="center"/>
          </w:tcPr>
          <w:p w14:paraId="1C4BD97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w:t>
            </w:r>
          </w:p>
        </w:tc>
      </w:tr>
      <w:tr w14:paraId="2750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4D9DC42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Ⅱ级洁净手术室</w:t>
            </w:r>
          </w:p>
        </w:tc>
        <w:tc>
          <w:tcPr>
            <w:tcW w:w="846" w:type="dxa"/>
            <w:vAlign w:val="center"/>
          </w:tcPr>
          <w:p w14:paraId="3D10BB7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7EE5DA6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24</w:t>
            </w:r>
          </w:p>
        </w:tc>
        <w:tc>
          <w:tcPr>
            <w:tcW w:w="993" w:type="dxa"/>
            <w:vAlign w:val="center"/>
          </w:tcPr>
          <w:p w14:paraId="51B6D63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4A78B5C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21～25</w:t>
            </w:r>
          </w:p>
        </w:tc>
        <w:tc>
          <w:tcPr>
            <w:tcW w:w="851" w:type="dxa"/>
            <w:vAlign w:val="center"/>
          </w:tcPr>
          <w:p w14:paraId="28363BD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30～60</w:t>
            </w:r>
          </w:p>
        </w:tc>
        <w:tc>
          <w:tcPr>
            <w:tcW w:w="1134" w:type="dxa"/>
            <w:vAlign w:val="center"/>
          </w:tcPr>
          <w:p w14:paraId="2AC8FB6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15～20</w:t>
            </w:r>
          </w:p>
        </w:tc>
        <w:tc>
          <w:tcPr>
            <w:tcW w:w="567" w:type="dxa"/>
            <w:vAlign w:val="center"/>
          </w:tcPr>
          <w:p w14:paraId="0A19146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≤49</w:t>
            </w:r>
          </w:p>
        </w:tc>
        <w:tc>
          <w:tcPr>
            <w:tcW w:w="708" w:type="dxa"/>
            <w:vAlign w:val="center"/>
          </w:tcPr>
          <w:p w14:paraId="102F340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≥350</w:t>
            </w:r>
          </w:p>
        </w:tc>
        <w:tc>
          <w:tcPr>
            <w:tcW w:w="709" w:type="dxa"/>
            <w:vAlign w:val="center"/>
          </w:tcPr>
          <w:p w14:paraId="468D782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20</w:t>
            </w:r>
          </w:p>
        </w:tc>
      </w:tr>
      <w:tr w14:paraId="53AE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5D0DED1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Ⅲ级洁净手术室</w:t>
            </w:r>
          </w:p>
        </w:tc>
        <w:tc>
          <w:tcPr>
            <w:tcW w:w="846" w:type="dxa"/>
            <w:vAlign w:val="center"/>
          </w:tcPr>
          <w:p w14:paraId="1C38FF3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691ADDE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18</w:t>
            </w:r>
          </w:p>
        </w:tc>
        <w:tc>
          <w:tcPr>
            <w:tcW w:w="993" w:type="dxa"/>
            <w:vAlign w:val="center"/>
          </w:tcPr>
          <w:p w14:paraId="5A5C054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12D875B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21～25</w:t>
            </w:r>
          </w:p>
        </w:tc>
        <w:tc>
          <w:tcPr>
            <w:tcW w:w="851" w:type="dxa"/>
            <w:vAlign w:val="center"/>
          </w:tcPr>
          <w:p w14:paraId="5263A98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30～60</w:t>
            </w:r>
          </w:p>
        </w:tc>
        <w:tc>
          <w:tcPr>
            <w:tcW w:w="1134" w:type="dxa"/>
            <w:vAlign w:val="center"/>
          </w:tcPr>
          <w:p w14:paraId="483DF80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15～20</w:t>
            </w:r>
          </w:p>
        </w:tc>
        <w:tc>
          <w:tcPr>
            <w:tcW w:w="567" w:type="dxa"/>
            <w:vAlign w:val="center"/>
          </w:tcPr>
          <w:p w14:paraId="5E568C8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≤49</w:t>
            </w:r>
          </w:p>
        </w:tc>
        <w:tc>
          <w:tcPr>
            <w:tcW w:w="708" w:type="dxa"/>
            <w:vAlign w:val="center"/>
          </w:tcPr>
          <w:p w14:paraId="2540FAB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≥350</w:t>
            </w:r>
          </w:p>
        </w:tc>
        <w:tc>
          <w:tcPr>
            <w:tcW w:w="709" w:type="dxa"/>
            <w:vAlign w:val="center"/>
          </w:tcPr>
          <w:p w14:paraId="4C868E1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20</w:t>
            </w:r>
          </w:p>
        </w:tc>
      </w:tr>
      <w:tr w14:paraId="7C48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2CEAFF6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Ⅳ级洁净手术室</w:t>
            </w:r>
          </w:p>
        </w:tc>
        <w:tc>
          <w:tcPr>
            <w:tcW w:w="846" w:type="dxa"/>
            <w:vAlign w:val="center"/>
          </w:tcPr>
          <w:p w14:paraId="24344DD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2DEE0FF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12</w:t>
            </w:r>
          </w:p>
        </w:tc>
        <w:tc>
          <w:tcPr>
            <w:tcW w:w="993" w:type="dxa"/>
            <w:vAlign w:val="center"/>
          </w:tcPr>
          <w:p w14:paraId="2E21D0F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0F7B8BE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21～25</w:t>
            </w:r>
          </w:p>
        </w:tc>
        <w:tc>
          <w:tcPr>
            <w:tcW w:w="851" w:type="dxa"/>
            <w:vAlign w:val="center"/>
          </w:tcPr>
          <w:p w14:paraId="2E5BDD9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30～60</w:t>
            </w:r>
          </w:p>
        </w:tc>
        <w:tc>
          <w:tcPr>
            <w:tcW w:w="1134" w:type="dxa"/>
            <w:vAlign w:val="center"/>
          </w:tcPr>
          <w:p w14:paraId="6131E36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15～20</w:t>
            </w:r>
          </w:p>
        </w:tc>
        <w:tc>
          <w:tcPr>
            <w:tcW w:w="567" w:type="dxa"/>
            <w:vAlign w:val="center"/>
          </w:tcPr>
          <w:p w14:paraId="4EB5D9E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≤49</w:t>
            </w:r>
          </w:p>
        </w:tc>
        <w:tc>
          <w:tcPr>
            <w:tcW w:w="708" w:type="dxa"/>
            <w:vAlign w:val="center"/>
          </w:tcPr>
          <w:p w14:paraId="17024A2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≥350</w:t>
            </w:r>
          </w:p>
        </w:tc>
        <w:tc>
          <w:tcPr>
            <w:tcW w:w="709" w:type="dxa"/>
            <w:vAlign w:val="center"/>
          </w:tcPr>
          <w:p w14:paraId="492620D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30</w:t>
            </w:r>
          </w:p>
        </w:tc>
      </w:tr>
      <w:tr w14:paraId="3D68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5E58617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体外循环室</w:t>
            </w:r>
          </w:p>
        </w:tc>
        <w:tc>
          <w:tcPr>
            <w:tcW w:w="846" w:type="dxa"/>
            <w:vAlign w:val="center"/>
          </w:tcPr>
          <w:p w14:paraId="4F01262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4CBD913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12</w:t>
            </w:r>
          </w:p>
        </w:tc>
        <w:tc>
          <w:tcPr>
            <w:tcW w:w="993" w:type="dxa"/>
            <w:vAlign w:val="center"/>
          </w:tcPr>
          <w:p w14:paraId="44FD728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670843C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21～27</w:t>
            </w:r>
          </w:p>
        </w:tc>
        <w:tc>
          <w:tcPr>
            <w:tcW w:w="851" w:type="dxa"/>
            <w:vAlign w:val="center"/>
          </w:tcPr>
          <w:p w14:paraId="276640D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1134" w:type="dxa"/>
            <w:vAlign w:val="center"/>
          </w:tcPr>
          <w:p w14:paraId="4EDB9B6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6592D4D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708" w:type="dxa"/>
            <w:vAlign w:val="center"/>
          </w:tcPr>
          <w:p w14:paraId="288F1CB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≥150</w:t>
            </w:r>
          </w:p>
        </w:tc>
        <w:tc>
          <w:tcPr>
            <w:tcW w:w="709" w:type="dxa"/>
            <w:vAlign w:val="center"/>
          </w:tcPr>
          <w:p w14:paraId="7336E62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7771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15D4509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无菌敷料室</w:t>
            </w:r>
          </w:p>
        </w:tc>
        <w:tc>
          <w:tcPr>
            <w:tcW w:w="846" w:type="dxa"/>
            <w:vAlign w:val="center"/>
          </w:tcPr>
          <w:p w14:paraId="76FF0E9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4C26116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12</w:t>
            </w:r>
          </w:p>
        </w:tc>
        <w:tc>
          <w:tcPr>
            <w:tcW w:w="993" w:type="dxa"/>
            <w:vAlign w:val="center"/>
          </w:tcPr>
          <w:p w14:paraId="2005143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0C01575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≤27</w:t>
            </w:r>
          </w:p>
        </w:tc>
        <w:tc>
          <w:tcPr>
            <w:tcW w:w="851" w:type="dxa"/>
            <w:vAlign w:val="center"/>
          </w:tcPr>
          <w:p w14:paraId="4703476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1134" w:type="dxa"/>
            <w:vAlign w:val="center"/>
          </w:tcPr>
          <w:p w14:paraId="7037218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531D616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708" w:type="dxa"/>
            <w:vAlign w:val="center"/>
          </w:tcPr>
          <w:p w14:paraId="29CCEE1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≥150</w:t>
            </w:r>
          </w:p>
        </w:tc>
        <w:tc>
          <w:tcPr>
            <w:tcW w:w="709" w:type="dxa"/>
            <w:vAlign w:val="center"/>
          </w:tcPr>
          <w:p w14:paraId="22F31AB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535E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76" w:type="dxa"/>
            <w:vAlign w:val="center"/>
          </w:tcPr>
          <w:p w14:paraId="7A67CE5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未拆封器械、无菌药品、一次性物品和精密仪器存放室</w:t>
            </w:r>
          </w:p>
        </w:tc>
        <w:tc>
          <w:tcPr>
            <w:tcW w:w="846" w:type="dxa"/>
            <w:vAlign w:val="center"/>
          </w:tcPr>
          <w:p w14:paraId="0D840F0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64A84E7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w:t>
            </w:r>
          </w:p>
        </w:tc>
        <w:tc>
          <w:tcPr>
            <w:tcW w:w="993" w:type="dxa"/>
            <w:vAlign w:val="center"/>
          </w:tcPr>
          <w:p w14:paraId="1BB1D2F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74B84CD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≤27</w:t>
            </w:r>
          </w:p>
        </w:tc>
        <w:tc>
          <w:tcPr>
            <w:tcW w:w="851" w:type="dxa"/>
            <w:vAlign w:val="center"/>
          </w:tcPr>
          <w:p w14:paraId="20E1585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1134" w:type="dxa"/>
            <w:vAlign w:val="center"/>
          </w:tcPr>
          <w:p w14:paraId="7B85CBF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56B446E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708" w:type="dxa"/>
            <w:vAlign w:val="center"/>
          </w:tcPr>
          <w:p w14:paraId="6A3597E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≥150</w:t>
            </w:r>
          </w:p>
        </w:tc>
        <w:tc>
          <w:tcPr>
            <w:tcW w:w="709" w:type="dxa"/>
            <w:vAlign w:val="center"/>
          </w:tcPr>
          <w:p w14:paraId="72A1743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3C91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2511A7D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护士站</w:t>
            </w:r>
          </w:p>
        </w:tc>
        <w:tc>
          <w:tcPr>
            <w:tcW w:w="846" w:type="dxa"/>
            <w:vAlign w:val="center"/>
          </w:tcPr>
          <w:p w14:paraId="63355AE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2716494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w:t>
            </w:r>
          </w:p>
        </w:tc>
        <w:tc>
          <w:tcPr>
            <w:tcW w:w="993" w:type="dxa"/>
            <w:vAlign w:val="center"/>
          </w:tcPr>
          <w:p w14:paraId="6E36611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143E661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21～27</w:t>
            </w:r>
          </w:p>
        </w:tc>
        <w:tc>
          <w:tcPr>
            <w:tcW w:w="851" w:type="dxa"/>
            <w:vAlign w:val="center"/>
          </w:tcPr>
          <w:p w14:paraId="2C62FFA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1134" w:type="dxa"/>
            <w:vAlign w:val="center"/>
          </w:tcPr>
          <w:p w14:paraId="22BA6C1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1DE7D22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≤55</w:t>
            </w:r>
          </w:p>
        </w:tc>
        <w:tc>
          <w:tcPr>
            <w:tcW w:w="708" w:type="dxa"/>
            <w:vAlign w:val="center"/>
          </w:tcPr>
          <w:p w14:paraId="6ECB221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≥150</w:t>
            </w:r>
          </w:p>
        </w:tc>
        <w:tc>
          <w:tcPr>
            <w:tcW w:w="709" w:type="dxa"/>
            <w:vAlign w:val="center"/>
          </w:tcPr>
          <w:p w14:paraId="289C026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27F0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5DD2580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预麻醉室</w:t>
            </w:r>
          </w:p>
        </w:tc>
        <w:tc>
          <w:tcPr>
            <w:tcW w:w="846" w:type="dxa"/>
            <w:vAlign w:val="center"/>
          </w:tcPr>
          <w:p w14:paraId="00043F4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负</w:t>
            </w:r>
          </w:p>
        </w:tc>
        <w:tc>
          <w:tcPr>
            <w:tcW w:w="855" w:type="dxa"/>
            <w:vAlign w:val="center"/>
          </w:tcPr>
          <w:p w14:paraId="4B9FA8F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w:t>
            </w:r>
          </w:p>
        </w:tc>
        <w:tc>
          <w:tcPr>
            <w:tcW w:w="993" w:type="dxa"/>
            <w:vAlign w:val="center"/>
          </w:tcPr>
          <w:p w14:paraId="2CE83C4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353E27A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23～26</w:t>
            </w:r>
          </w:p>
        </w:tc>
        <w:tc>
          <w:tcPr>
            <w:tcW w:w="851" w:type="dxa"/>
            <w:vAlign w:val="center"/>
          </w:tcPr>
          <w:p w14:paraId="74DF837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30～60</w:t>
            </w:r>
          </w:p>
        </w:tc>
        <w:tc>
          <w:tcPr>
            <w:tcW w:w="1134" w:type="dxa"/>
            <w:vAlign w:val="center"/>
          </w:tcPr>
          <w:p w14:paraId="24398A5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03F8DD2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≤55</w:t>
            </w:r>
          </w:p>
        </w:tc>
        <w:tc>
          <w:tcPr>
            <w:tcW w:w="708" w:type="dxa"/>
            <w:vAlign w:val="center"/>
          </w:tcPr>
          <w:p w14:paraId="55C4181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≥150</w:t>
            </w:r>
          </w:p>
        </w:tc>
        <w:tc>
          <w:tcPr>
            <w:tcW w:w="709" w:type="dxa"/>
            <w:vAlign w:val="center"/>
          </w:tcPr>
          <w:p w14:paraId="3113D49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5977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7BB4093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手术室前室</w:t>
            </w:r>
          </w:p>
        </w:tc>
        <w:tc>
          <w:tcPr>
            <w:tcW w:w="846" w:type="dxa"/>
            <w:vAlign w:val="center"/>
          </w:tcPr>
          <w:p w14:paraId="12CF561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5D3F097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8</w:t>
            </w:r>
          </w:p>
        </w:tc>
        <w:tc>
          <w:tcPr>
            <w:tcW w:w="993" w:type="dxa"/>
            <w:vAlign w:val="center"/>
          </w:tcPr>
          <w:p w14:paraId="6966B20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7954496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21～27</w:t>
            </w:r>
          </w:p>
        </w:tc>
        <w:tc>
          <w:tcPr>
            <w:tcW w:w="851" w:type="dxa"/>
            <w:vAlign w:val="center"/>
          </w:tcPr>
          <w:p w14:paraId="7EE6BCF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1134" w:type="dxa"/>
            <w:vAlign w:val="center"/>
          </w:tcPr>
          <w:p w14:paraId="7D6AFE6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04E4587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708" w:type="dxa"/>
            <w:vAlign w:val="center"/>
          </w:tcPr>
          <w:p w14:paraId="7575F20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≥200</w:t>
            </w:r>
          </w:p>
        </w:tc>
        <w:tc>
          <w:tcPr>
            <w:tcW w:w="709" w:type="dxa"/>
            <w:vAlign w:val="center"/>
          </w:tcPr>
          <w:p w14:paraId="6F62827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688D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186AC19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刷手间</w:t>
            </w:r>
          </w:p>
        </w:tc>
        <w:tc>
          <w:tcPr>
            <w:tcW w:w="846" w:type="dxa"/>
            <w:vAlign w:val="center"/>
          </w:tcPr>
          <w:p w14:paraId="2C71E68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负</w:t>
            </w:r>
          </w:p>
        </w:tc>
        <w:tc>
          <w:tcPr>
            <w:tcW w:w="855" w:type="dxa"/>
            <w:vAlign w:val="center"/>
          </w:tcPr>
          <w:p w14:paraId="0D6B93F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8</w:t>
            </w:r>
          </w:p>
        </w:tc>
        <w:tc>
          <w:tcPr>
            <w:tcW w:w="993" w:type="dxa"/>
            <w:vAlign w:val="center"/>
          </w:tcPr>
          <w:p w14:paraId="42C33DA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0492FF2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21～27</w:t>
            </w:r>
          </w:p>
        </w:tc>
        <w:tc>
          <w:tcPr>
            <w:tcW w:w="851" w:type="dxa"/>
            <w:vAlign w:val="center"/>
          </w:tcPr>
          <w:p w14:paraId="7B1EA3D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1134" w:type="dxa"/>
            <w:vAlign w:val="center"/>
          </w:tcPr>
          <w:p w14:paraId="3A459F2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48670A3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≤55</w:t>
            </w:r>
          </w:p>
        </w:tc>
        <w:tc>
          <w:tcPr>
            <w:tcW w:w="708" w:type="dxa"/>
            <w:vAlign w:val="center"/>
          </w:tcPr>
          <w:p w14:paraId="15B532D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≥150</w:t>
            </w:r>
          </w:p>
        </w:tc>
        <w:tc>
          <w:tcPr>
            <w:tcW w:w="709" w:type="dxa"/>
            <w:vAlign w:val="center"/>
          </w:tcPr>
          <w:p w14:paraId="745B0B3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6E83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3ECE404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洁净区走廊</w:t>
            </w:r>
          </w:p>
        </w:tc>
        <w:tc>
          <w:tcPr>
            <w:tcW w:w="846" w:type="dxa"/>
            <w:vAlign w:val="center"/>
          </w:tcPr>
          <w:p w14:paraId="0A94AB1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05D18E3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8</w:t>
            </w:r>
          </w:p>
        </w:tc>
        <w:tc>
          <w:tcPr>
            <w:tcW w:w="993" w:type="dxa"/>
            <w:vAlign w:val="center"/>
          </w:tcPr>
          <w:p w14:paraId="722F11D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0B8DDFE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21～27</w:t>
            </w:r>
          </w:p>
        </w:tc>
        <w:tc>
          <w:tcPr>
            <w:tcW w:w="851" w:type="dxa"/>
            <w:vAlign w:val="center"/>
          </w:tcPr>
          <w:p w14:paraId="56805E9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≤60</w:t>
            </w:r>
          </w:p>
        </w:tc>
        <w:tc>
          <w:tcPr>
            <w:tcW w:w="1134" w:type="dxa"/>
            <w:vAlign w:val="center"/>
          </w:tcPr>
          <w:p w14:paraId="7C693A3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41EDAF5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≤52</w:t>
            </w:r>
          </w:p>
        </w:tc>
        <w:tc>
          <w:tcPr>
            <w:tcW w:w="708" w:type="dxa"/>
            <w:vAlign w:val="center"/>
          </w:tcPr>
          <w:p w14:paraId="65CD131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≥150</w:t>
            </w:r>
          </w:p>
        </w:tc>
        <w:tc>
          <w:tcPr>
            <w:tcW w:w="709" w:type="dxa"/>
            <w:vAlign w:val="center"/>
          </w:tcPr>
          <w:p w14:paraId="18FF64D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5C41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Align w:val="center"/>
          </w:tcPr>
          <w:p w14:paraId="5C69607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恢复室</w:t>
            </w:r>
          </w:p>
        </w:tc>
        <w:tc>
          <w:tcPr>
            <w:tcW w:w="846" w:type="dxa"/>
            <w:vAlign w:val="center"/>
          </w:tcPr>
          <w:p w14:paraId="58904EB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正</w:t>
            </w:r>
          </w:p>
        </w:tc>
        <w:tc>
          <w:tcPr>
            <w:tcW w:w="855" w:type="dxa"/>
            <w:vAlign w:val="center"/>
          </w:tcPr>
          <w:p w14:paraId="287C8DE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8</w:t>
            </w:r>
          </w:p>
        </w:tc>
        <w:tc>
          <w:tcPr>
            <w:tcW w:w="993" w:type="dxa"/>
            <w:vAlign w:val="center"/>
          </w:tcPr>
          <w:p w14:paraId="242F421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2AF6CC7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22～26</w:t>
            </w:r>
          </w:p>
        </w:tc>
        <w:tc>
          <w:tcPr>
            <w:tcW w:w="851" w:type="dxa"/>
            <w:vAlign w:val="center"/>
          </w:tcPr>
          <w:p w14:paraId="2559C97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25～60</w:t>
            </w:r>
          </w:p>
        </w:tc>
        <w:tc>
          <w:tcPr>
            <w:tcW w:w="1134" w:type="dxa"/>
            <w:vAlign w:val="center"/>
          </w:tcPr>
          <w:p w14:paraId="6DB19C2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（2） </w:t>
            </w:r>
          </w:p>
        </w:tc>
        <w:tc>
          <w:tcPr>
            <w:tcW w:w="567" w:type="dxa"/>
            <w:vAlign w:val="center"/>
          </w:tcPr>
          <w:p w14:paraId="6F71DA6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≤48</w:t>
            </w:r>
          </w:p>
        </w:tc>
        <w:tc>
          <w:tcPr>
            <w:tcW w:w="708" w:type="dxa"/>
            <w:vAlign w:val="center"/>
          </w:tcPr>
          <w:p w14:paraId="3FBFBCB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≥200</w:t>
            </w:r>
          </w:p>
        </w:tc>
        <w:tc>
          <w:tcPr>
            <w:tcW w:w="709" w:type="dxa"/>
            <w:vAlign w:val="center"/>
          </w:tcPr>
          <w:p w14:paraId="6B3E66C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0DC3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Merge w:val="restart"/>
            <w:vAlign w:val="center"/>
          </w:tcPr>
          <w:p w14:paraId="2B83ADD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脱包间</w:t>
            </w:r>
          </w:p>
        </w:tc>
        <w:tc>
          <w:tcPr>
            <w:tcW w:w="846" w:type="dxa"/>
            <w:vAlign w:val="center"/>
          </w:tcPr>
          <w:p w14:paraId="7B513DC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外间脱包负</w:t>
            </w:r>
          </w:p>
        </w:tc>
        <w:tc>
          <w:tcPr>
            <w:tcW w:w="855" w:type="dxa"/>
            <w:vAlign w:val="center"/>
          </w:tcPr>
          <w:p w14:paraId="1480B1B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993" w:type="dxa"/>
            <w:vAlign w:val="center"/>
          </w:tcPr>
          <w:p w14:paraId="63427C7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0FE4BD9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1" w:type="dxa"/>
            <w:vAlign w:val="center"/>
          </w:tcPr>
          <w:p w14:paraId="11D9FD6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1134" w:type="dxa"/>
            <w:vAlign w:val="center"/>
          </w:tcPr>
          <w:p w14:paraId="4B025A8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567" w:type="dxa"/>
            <w:vAlign w:val="center"/>
          </w:tcPr>
          <w:p w14:paraId="6BE82AA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708" w:type="dxa"/>
            <w:vAlign w:val="center"/>
          </w:tcPr>
          <w:p w14:paraId="7E141A4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709" w:type="dxa"/>
            <w:vAlign w:val="center"/>
          </w:tcPr>
          <w:p w14:paraId="610372A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r w14:paraId="1456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76" w:type="dxa"/>
            <w:vMerge w:val="continue"/>
            <w:vAlign w:val="center"/>
          </w:tcPr>
          <w:p w14:paraId="7D94E758">
            <w:pPr>
              <w:spacing w:after="0" w:line="360" w:lineRule="auto"/>
              <w:ind w:firstLine="0"/>
              <w:rPr>
                <w:rFonts w:hint="eastAsia" w:ascii="宋体" w:hAnsi="宋体" w:eastAsia="宋体" w:cs="宋体"/>
                <w:color w:val="000000"/>
                <w:kern w:val="2"/>
                <w:sz w:val="24"/>
                <w:szCs w:val="24"/>
                <w:lang w:eastAsia="zh-CN" w:bidi="ar-SA"/>
              </w:rPr>
            </w:pPr>
          </w:p>
        </w:tc>
        <w:tc>
          <w:tcPr>
            <w:tcW w:w="846" w:type="dxa"/>
            <w:vAlign w:val="center"/>
          </w:tcPr>
          <w:p w14:paraId="2E9EC45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内间暂存正</w:t>
            </w:r>
          </w:p>
        </w:tc>
        <w:tc>
          <w:tcPr>
            <w:tcW w:w="855" w:type="dxa"/>
            <w:vAlign w:val="center"/>
          </w:tcPr>
          <w:p w14:paraId="6504CF4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8</w:t>
            </w:r>
          </w:p>
        </w:tc>
        <w:tc>
          <w:tcPr>
            <w:tcW w:w="993" w:type="dxa"/>
            <w:vAlign w:val="center"/>
          </w:tcPr>
          <w:p w14:paraId="1D43EF6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0" w:type="dxa"/>
            <w:vAlign w:val="center"/>
          </w:tcPr>
          <w:p w14:paraId="5D57047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51" w:type="dxa"/>
            <w:vAlign w:val="center"/>
          </w:tcPr>
          <w:p w14:paraId="2B0870B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1134" w:type="dxa"/>
            <w:vAlign w:val="center"/>
          </w:tcPr>
          <w:p w14:paraId="6F9FF4C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567" w:type="dxa"/>
            <w:vAlign w:val="center"/>
          </w:tcPr>
          <w:p w14:paraId="0E2FDD0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708" w:type="dxa"/>
            <w:vAlign w:val="center"/>
          </w:tcPr>
          <w:p w14:paraId="7FD177E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709" w:type="dxa"/>
            <w:vAlign w:val="center"/>
          </w:tcPr>
          <w:p w14:paraId="017D727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bl>
    <w:p w14:paraId="294E0825">
      <w:pPr>
        <w:ind w:left="0" w:leftChars="0" w:firstLine="0" w:firstLineChars="0"/>
        <w:rPr>
          <w:rFonts w:hint="eastAsia" w:ascii="宋体" w:hAnsi="宋体" w:eastAsia="宋体" w:cs="宋体"/>
          <w:sz w:val="24"/>
          <w:szCs w:val="24"/>
        </w:rPr>
      </w:pPr>
      <w:r>
        <w:rPr>
          <w:rFonts w:hint="eastAsia" w:ascii="宋体" w:hAnsi="宋体" w:eastAsia="宋体" w:cs="宋体"/>
          <w:b/>
          <w:bCs w:val="0"/>
          <w:kern w:val="0"/>
          <w:sz w:val="24"/>
          <w:szCs w:val="24"/>
          <w:lang w:val="en-US" w:eastAsia="zh-CN"/>
        </w:rPr>
        <w:t>（2）手术室</w:t>
      </w:r>
      <w:r>
        <w:rPr>
          <w:rFonts w:hint="eastAsia" w:ascii="宋体" w:hAnsi="宋体" w:eastAsia="宋体" w:cs="宋体"/>
          <w:b/>
          <w:bCs w:val="0"/>
          <w:kern w:val="0"/>
          <w:sz w:val="24"/>
          <w:szCs w:val="24"/>
        </w:rPr>
        <w:t>环境污染控制指标</w:t>
      </w:r>
    </w:p>
    <w:tbl>
      <w:tblPr>
        <w:tblStyle w:val="6"/>
        <w:tblW w:w="8460"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30"/>
        <w:gridCol w:w="797"/>
        <w:gridCol w:w="531"/>
        <w:gridCol w:w="726"/>
        <w:gridCol w:w="519"/>
        <w:gridCol w:w="783"/>
        <w:gridCol w:w="670"/>
        <w:gridCol w:w="643"/>
        <w:gridCol w:w="602"/>
        <w:gridCol w:w="629"/>
        <w:gridCol w:w="560"/>
        <w:gridCol w:w="491"/>
        <w:gridCol w:w="879"/>
      </w:tblGrid>
      <w:tr w14:paraId="1363C7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4" w:hRule="atLeast"/>
          <w:tblCellSpacing w:w="0" w:type="dxa"/>
          <w:jc w:val="center"/>
        </w:trPr>
        <w:tc>
          <w:tcPr>
            <w:tcW w:w="630" w:type="dxa"/>
            <w:vMerge w:val="restart"/>
            <w:tcBorders>
              <w:top w:val="outset" w:color="auto" w:sz="6" w:space="0"/>
              <w:left w:val="outset" w:color="auto" w:sz="6" w:space="0"/>
              <w:bottom w:val="outset" w:color="auto" w:sz="6" w:space="0"/>
              <w:right w:val="outset" w:color="auto" w:sz="6" w:space="0"/>
            </w:tcBorders>
            <w:vAlign w:val="center"/>
          </w:tcPr>
          <w:p w14:paraId="7BE7CB3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级</w:t>
            </w:r>
          </w:p>
          <w:p w14:paraId="550C5A5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别</w:t>
            </w:r>
          </w:p>
        </w:tc>
        <w:tc>
          <w:tcPr>
            <w:tcW w:w="4026" w:type="dxa"/>
            <w:gridSpan w:val="6"/>
            <w:tcBorders>
              <w:top w:val="outset" w:color="auto" w:sz="6" w:space="0"/>
              <w:left w:val="outset" w:color="auto" w:sz="6" w:space="0"/>
              <w:bottom w:val="outset" w:color="auto" w:sz="6" w:space="0"/>
              <w:right w:val="outset" w:color="auto" w:sz="6" w:space="0"/>
            </w:tcBorders>
            <w:vAlign w:val="center"/>
          </w:tcPr>
          <w:p w14:paraId="51F42E1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空气</w:t>
            </w:r>
          </w:p>
        </w:tc>
        <w:tc>
          <w:tcPr>
            <w:tcW w:w="1245" w:type="dxa"/>
            <w:gridSpan w:val="2"/>
            <w:tcBorders>
              <w:top w:val="outset" w:color="auto" w:sz="6" w:space="0"/>
              <w:left w:val="outset" w:color="auto" w:sz="6" w:space="0"/>
              <w:bottom w:val="outset" w:color="auto" w:sz="6" w:space="0"/>
              <w:right w:val="outset" w:color="auto" w:sz="6" w:space="0"/>
            </w:tcBorders>
            <w:vAlign w:val="center"/>
          </w:tcPr>
          <w:p w14:paraId="7CE2BDD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地面</w:t>
            </w:r>
          </w:p>
        </w:tc>
        <w:tc>
          <w:tcPr>
            <w:tcW w:w="1189" w:type="dxa"/>
            <w:gridSpan w:val="2"/>
            <w:tcBorders>
              <w:top w:val="outset" w:color="auto" w:sz="6" w:space="0"/>
              <w:left w:val="outset" w:color="auto" w:sz="6" w:space="0"/>
              <w:bottom w:val="outset" w:color="auto" w:sz="6" w:space="0"/>
              <w:right w:val="outset" w:color="auto" w:sz="6" w:space="0"/>
            </w:tcBorders>
            <w:vAlign w:val="center"/>
          </w:tcPr>
          <w:p w14:paraId="7AB79DE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墙面与物体表面</w:t>
            </w:r>
          </w:p>
        </w:tc>
        <w:tc>
          <w:tcPr>
            <w:tcW w:w="1370" w:type="dxa"/>
            <w:gridSpan w:val="2"/>
            <w:tcBorders>
              <w:top w:val="outset" w:color="auto" w:sz="6" w:space="0"/>
              <w:left w:val="outset" w:color="auto" w:sz="6" w:space="0"/>
              <w:bottom w:val="outset" w:color="auto" w:sz="6" w:space="0"/>
              <w:right w:val="outset" w:color="auto" w:sz="6" w:space="0"/>
            </w:tcBorders>
            <w:vAlign w:val="center"/>
          </w:tcPr>
          <w:p w14:paraId="00962D8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五指手套印</w:t>
            </w:r>
          </w:p>
        </w:tc>
      </w:tr>
      <w:tr w14:paraId="3874E3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4" w:hRule="atLeast"/>
          <w:tblCellSpacing w:w="0" w:type="dxa"/>
          <w:jc w:val="center"/>
        </w:trPr>
        <w:tc>
          <w:tcPr>
            <w:tcW w:w="630" w:type="dxa"/>
            <w:vMerge w:val="continue"/>
            <w:tcBorders>
              <w:top w:val="outset" w:color="auto" w:sz="6" w:space="0"/>
              <w:left w:val="outset" w:color="auto" w:sz="6" w:space="0"/>
              <w:bottom w:val="outset" w:color="auto" w:sz="6" w:space="0"/>
              <w:right w:val="outset" w:color="auto" w:sz="6" w:space="0"/>
            </w:tcBorders>
            <w:vAlign w:val="center"/>
          </w:tcPr>
          <w:p w14:paraId="396E18C9">
            <w:pPr>
              <w:spacing w:after="0" w:line="360" w:lineRule="auto"/>
              <w:ind w:firstLine="0"/>
              <w:jc w:val="center"/>
              <w:rPr>
                <w:rFonts w:hint="eastAsia" w:ascii="宋体" w:hAnsi="宋体" w:eastAsia="宋体" w:cs="宋体"/>
                <w:color w:val="000000"/>
                <w:kern w:val="2"/>
                <w:sz w:val="24"/>
                <w:szCs w:val="24"/>
                <w:lang w:eastAsia="zh-CN" w:bidi="ar-SA"/>
              </w:rPr>
            </w:pPr>
          </w:p>
        </w:tc>
        <w:tc>
          <w:tcPr>
            <w:tcW w:w="2573" w:type="dxa"/>
            <w:gridSpan w:val="4"/>
            <w:tcBorders>
              <w:top w:val="outset" w:color="auto" w:sz="6" w:space="0"/>
              <w:left w:val="outset" w:color="auto" w:sz="6" w:space="0"/>
              <w:bottom w:val="outset" w:color="auto" w:sz="6" w:space="0"/>
              <w:right w:val="outset" w:color="auto" w:sz="6" w:space="0"/>
            </w:tcBorders>
            <w:vAlign w:val="center"/>
          </w:tcPr>
          <w:p w14:paraId="451901B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微粒（粒/L）</w:t>
            </w:r>
          </w:p>
        </w:tc>
        <w:tc>
          <w:tcPr>
            <w:tcW w:w="1453" w:type="dxa"/>
            <w:gridSpan w:val="2"/>
            <w:vMerge w:val="restart"/>
            <w:tcBorders>
              <w:top w:val="outset" w:color="auto" w:sz="6" w:space="0"/>
              <w:left w:val="outset" w:color="auto" w:sz="6" w:space="0"/>
              <w:bottom w:val="outset" w:color="auto" w:sz="6" w:space="0"/>
              <w:right w:val="outset" w:color="auto" w:sz="6" w:space="0"/>
            </w:tcBorders>
            <w:vAlign w:val="center"/>
          </w:tcPr>
          <w:p w14:paraId="00D6159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沉降菌浓度</w:t>
            </w:r>
          </w:p>
          <w:p w14:paraId="1D209B6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(个/φ90皿•0.5h）</w:t>
            </w:r>
          </w:p>
        </w:tc>
        <w:tc>
          <w:tcPr>
            <w:tcW w:w="1245" w:type="dxa"/>
            <w:gridSpan w:val="2"/>
            <w:vMerge w:val="restart"/>
            <w:tcBorders>
              <w:top w:val="outset" w:color="auto" w:sz="6" w:space="0"/>
              <w:left w:val="outset" w:color="auto" w:sz="6" w:space="0"/>
              <w:bottom w:val="outset" w:color="auto" w:sz="6" w:space="0"/>
              <w:right w:val="outset" w:color="auto" w:sz="6" w:space="0"/>
            </w:tcBorders>
            <w:vAlign w:val="center"/>
          </w:tcPr>
          <w:p w14:paraId="3B48EFA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染菌密度</w:t>
            </w:r>
          </w:p>
          <w:p w14:paraId="6392BAA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（cfu/cm2)</w:t>
            </w:r>
          </w:p>
        </w:tc>
        <w:tc>
          <w:tcPr>
            <w:tcW w:w="1189" w:type="dxa"/>
            <w:gridSpan w:val="2"/>
            <w:vMerge w:val="restart"/>
            <w:tcBorders>
              <w:top w:val="outset" w:color="auto" w:sz="6" w:space="0"/>
              <w:left w:val="outset" w:color="auto" w:sz="6" w:space="0"/>
              <w:bottom w:val="outset" w:color="auto" w:sz="6" w:space="0"/>
              <w:right w:val="outset" w:color="auto" w:sz="6" w:space="0"/>
            </w:tcBorders>
            <w:vAlign w:val="center"/>
          </w:tcPr>
          <w:p w14:paraId="420AA42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染菌密度（cfu/cm2)</w:t>
            </w:r>
          </w:p>
        </w:tc>
        <w:tc>
          <w:tcPr>
            <w:tcW w:w="1370" w:type="dxa"/>
            <w:gridSpan w:val="2"/>
            <w:vMerge w:val="restart"/>
            <w:tcBorders>
              <w:top w:val="outset" w:color="auto" w:sz="6" w:space="0"/>
              <w:left w:val="outset" w:color="auto" w:sz="6" w:space="0"/>
              <w:bottom w:val="outset" w:color="auto" w:sz="6" w:space="0"/>
              <w:right w:val="outset" w:color="auto" w:sz="6" w:space="0"/>
            </w:tcBorders>
            <w:vAlign w:val="center"/>
          </w:tcPr>
          <w:p w14:paraId="01C0DD8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染菌密度</w:t>
            </w:r>
          </w:p>
          <w:p w14:paraId="52757C1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（cfu/手套)</w:t>
            </w:r>
          </w:p>
        </w:tc>
      </w:tr>
      <w:tr w14:paraId="0D4EC6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78" w:hRule="atLeast"/>
          <w:tblCellSpacing w:w="0" w:type="dxa"/>
          <w:jc w:val="center"/>
        </w:trPr>
        <w:tc>
          <w:tcPr>
            <w:tcW w:w="630" w:type="dxa"/>
            <w:vMerge w:val="continue"/>
            <w:tcBorders>
              <w:top w:val="outset" w:color="auto" w:sz="6" w:space="0"/>
              <w:left w:val="outset" w:color="auto" w:sz="6" w:space="0"/>
              <w:bottom w:val="outset" w:color="auto" w:sz="6" w:space="0"/>
              <w:right w:val="outset" w:color="auto" w:sz="6" w:space="0"/>
            </w:tcBorders>
            <w:vAlign w:val="center"/>
          </w:tcPr>
          <w:p w14:paraId="53219CFD">
            <w:pPr>
              <w:spacing w:after="0" w:line="360" w:lineRule="auto"/>
              <w:ind w:firstLine="0"/>
              <w:jc w:val="center"/>
              <w:rPr>
                <w:rFonts w:hint="eastAsia" w:ascii="宋体" w:hAnsi="宋体" w:eastAsia="宋体" w:cs="宋体"/>
                <w:color w:val="000000"/>
                <w:kern w:val="2"/>
                <w:sz w:val="24"/>
                <w:szCs w:val="24"/>
                <w:lang w:eastAsia="zh-CN" w:bidi="ar-SA"/>
              </w:rPr>
            </w:pPr>
          </w:p>
        </w:tc>
        <w:tc>
          <w:tcPr>
            <w:tcW w:w="1328" w:type="dxa"/>
            <w:gridSpan w:val="2"/>
            <w:tcBorders>
              <w:top w:val="outset" w:color="auto" w:sz="6" w:space="0"/>
              <w:left w:val="outset" w:color="auto" w:sz="6" w:space="0"/>
              <w:bottom w:val="outset" w:color="auto" w:sz="6" w:space="0"/>
              <w:right w:val="outset" w:color="auto" w:sz="6" w:space="0"/>
            </w:tcBorders>
            <w:vAlign w:val="center"/>
          </w:tcPr>
          <w:p w14:paraId="4AAF37F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≥0.5μm</w:t>
            </w:r>
          </w:p>
        </w:tc>
        <w:tc>
          <w:tcPr>
            <w:tcW w:w="1245" w:type="dxa"/>
            <w:gridSpan w:val="2"/>
            <w:tcBorders>
              <w:top w:val="outset" w:color="auto" w:sz="6" w:space="0"/>
              <w:left w:val="outset" w:color="auto" w:sz="6" w:space="0"/>
              <w:bottom w:val="outset" w:color="auto" w:sz="6" w:space="0"/>
              <w:right w:val="outset" w:color="auto" w:sz="6" w:space="0"/>
            </w:tcBorders>
            <w:vAlign w:val="center"/>
          </w:tcPr>
          <w:p w14:paraId="1DF2A44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≥5.0μm</w:t>
            </w:r>
          </w:p>
        </w:tc>
        <w:tc>
          <w:tcPr>
            <w:tcW w:w="1453" w:type="dxa"/>
            <w:gridSpan w:val="2"/>
            <w:vMerge w:val="continue"/>
            <w:tcBorders>
              <w:top w:val="outset" w:color="auto" w:sz="6" w:space="0"/>
              <w:left w:val="outset" w:color="auto" w:sz="6" w:space="0"/>
              <w:bottom w:val="outset" w:color="auto" w:sz="6" w:space="0"/>
              <w:right w:val="outset" w:color="auto" w:sz="6" w:space="0"/>
            </w:tcBorders>
            <w:vAlign w:val="center"/>
          </w:tcPr>
          <w:p w14:paraId="37089AD5">
            <w:pPr>
              <w:spacing w:after="0" w:line="360" w:lineRule="auto"/>
              <w:ind w:firstLine="0"/>
              <w:jc w:val="center"/>
              <w:rPr>
                <w:rFonts w:hint="eastAsia" w:ascii="宋体" w:hAnsi="宋体" w:eastAsia="宋体" w:cs="宋体"/>
                <w:color w:val="000000"/>
                <w:kern w:val="2"/>
                <w:sz w:val="24"/>
                <w:szCs w:val="24"/>
                <w:lang w:eastAsia="zh-CN" w:bidi="ar-SA"/>
              </w:rPr>
            </w:pPr>
          </w:p>
        </w:tc>
        <w:tc>
          <w:tcPr>
            <w:tcW w:w="1245" w:type="dxa"/>
            <w:gridSpan w:val="2"/>
            <w:vMerge w:val="continue"/>
            <w:tcBorders>
              <w:top w:val="outset" w:color="auto" w:sz="6" w:space="0"/>
              <w:left w:val="outset" w:color="auto" w:sz="6" w:space="0"/>
              <w:bottom w:val="outset" w:color="auto" w:sz="6" w:space="0"/>
              <w:right w:val="outset" w:color="auto" w:sz="6" w:space="0"/>
            </w:tcBorders>
            <w:vAlign w:val="center"/>
          </w:tcPr>
          <w:p w14:paraId="20564F8A">
            <w:pPr>
              <w:spacing w:after="0" w:line="360" w:lineRule="auto"/>
              <w:ind w:firstLine="0"/>
              <w:jc w:val="center"/>
              <w:rPr>
                <w:rFonts w:hint="eastAsia" w:ascii="宋体" w:hAnsi="宋体" w:eastAsia="宋体" w:cs="宋体"/>
                <w:color w:val="000000"/>
                <w:kern w:val="2"/>
                <w:sz w:val="24"/>
                <w:szCs w:val="24"/>
                <w:lang w:eastAsia="zh-CN" w:bidi="ar-SA"/>
              </w:rPr>
            </w:pPr>
          </w:p>
        </w:tc>
        <w:tc>
          <w:tcPr>
            <w:tcW w:w="1189" w:type="dxa"/>
            <w:gridSpan w:val="2"/>
            <w:vMerge w:val="continue"/>
            <w:tcBorders>
              <w:top w:val="outset" w:color="auto" w:sz="6" w:space="0"/>
              <w:left w:val="outset" w:color="auto" w:sz="6" w:space="0"/>
              <w:bottom w:val="outset" w:color="auto" w:sz="6" w:space="0"/>
              <w:right w:val="outset" w:color="auto" w:sz="6" w:space="0"/>
            </w:tcBorders>
            <w:vAlign w:val="center"/>
          </w:tcPr>
          <w:p w14:paraId="032C3974">
            <w:pPr>
              <w:spacing w:after="0" w:line="360" w:lineRule="auto"/>
              <w:ind w:firstLine="0"/>
              <w:jc w:val="center"/>
              <w:rPr>
                <w:rFonts w:hint="eastAsia" w:ascii="宋体" w:hAnsi="宋体" w:eastAsia="宋体" w:cs="宋体"/>
                <w:color w:val="000000"/>
                <w:kern w:val="2"/>
                <w:sz w:val="24"/>
                <w:szCs w:val="24"/>
                <w:lang w:eastAsia="zh-CN" w:bidi="ar-SA"/>
              </w:rPr>
            </w:pPr>
          </w:p>
        </w:tc>
        <w:tc>
          <w:tcPr>
            <w:tcW w:w="1370" w:type="dxa"/>
            <w:gridSpan w:val="2"/>
            <w:vMerge w:val="continue"/>
            <w:tcBorders>
              <w:top w:val="outset" w:color="auto" w:sz="6" w:space="0"/>
              <w:left w:val="outset" w:color="auto" w:sz="6" w:space="0"/>
              <w:bottom w:val="outset" w:color="auto" w:sz="6" w:space="0"/>
              <w:right w:val="outset" w:color="auto" w:sz="6" w:space="0"/>
            </w:tcBorders>
            <w:vAlign w:val="center"/>
          </w:tcPr>
          <w:p w14:paraId="5CC20EA6">
            <w:pPr>
              <w:spacing w:after="0" w:line="360" w:lineRule="auto"/>
              <w:ind w:firstLine="0"/>
              <w:jc w:val="center"/>
              <w:rPr>
                <w:rFonts w:hint="eastAsia" w:ascii="宋体" w:hAnsi="宋体" w:eastAsia="宋体" w:cs="宋体"/>
                <w:color w:val="000000"/>
                <w:kern w:val="2"/>
                <w:sz w:val="24"/>
                <w:szCs w:val="24"/>
                <w:lang w:eastAsia="zh-CN" w:bidi="ar-SA"/>
              </w:rPr>
            </w:pPr>
          </w:p>
        </w:tc>
      </w:tr>
      <w:tr w14:paraId="34D30F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9" w:hRule="atLeast"/>
          <w:tblCellSpacing w:w="0" w:type="dxa"/>
          <w:jc w:val="center"/>
        </w:trPr>
        <w:tc>
          <w:tcPr>
            <w:tcW w:w="630" w:type="dxa"/>
            <w:vMerge w:val="continue"/>
            <w:tcBorders>
              <w:top w:val="outset" w:color="auto" w:sz="6" w:space="0"/>
              <w:left w:val="outset" w:color="auto" w:sz="6" w:space="0"/>
              <w:bottom w:val="outset" w:color="auto" w:sz="6" w:space="0"/>
              <w:right w:val="outset" w:color="auto" w:sz="6" w:space="0"/>
            </w:tcBorders>
            <w:vAlign w:val="center"/>
          </w:tcPr>
          <w:p w14:paraId="56581E5B">
            <w:pPr>
              <w:spacing w:after="0" w:line="360" w:lineRule="auto"/>
              <w:ind w:firstLine="0"/>
              <w:jc w:val="center"/>
              <w:rPr>
                <w:rFonts w:hint="eastAsia" w:ascii="宋体" w:hAnsi="宋体" w:eastAsia="宋体" w:cs="宋体"/>
                <w:color w:val="000000"/>
                <w:kern w:val="2"/>
                <w:sz w:val="24"/>
                <w:szCs w:val="24"/>
                <w:lang w:eastAsia="zh-CN" w:bidi="ar-SA"/>
              </w:rPr>
            </w:pPr>
          </w:p>
        </w:tc>
        <w:tc>
          <w:tcPr>
            <w:tcW w:w="797" w:type="dxa"/>
            <w:tcBorders>
              <w:top w:val="outset" w:color="auto" w:sz="6" w:space="0"/>
              <w:left w:val="outset" w:color="auto" w:sz="6" w:space="0"/>
              <w:bottom w:val="outset" w:color="auto" w:sz="6" w:space="0"/>
              <w:right w:val="outset" w:color="auto" w:sz="6" w:space="0"/>
            </w:tcBorders>
            <w:vAlign w:val="center"/>
          </w:tcPr>
          <w:p w14:paraId="012EB7D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静态</w:t>
            </w:r>
          </w:p>
        </w:tc>
        <w:tc>
          <w:tcPr>
            <w:tcW w:w="531" w:type="dxa"/>
            <w:tcBorders>
              <w:top w:val="outset" w:color="auto" w:sz="6" w:space="0"/>
              <w:left w:val="outset" w:color="auto" w:sz="6" w:space="0"/>
              <w:bottom w:val="outset" w:color="auto" w:sz="6" w:space="0"/>
              <w:right w:val="outset" w:color="auto" w:sz="6" w:space="0"/>
            </w:tcBorders>
            <w:vAlign w:val="center"/>
          </w:tcPr>
          <w:p w14:paraId="30CCED8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动态</w:t>
            </w:r>
          </w:p>
        </w:tc>
        <w:tc>
          <w:tcPr>
            <w:tcW w:w="726" w:type="dxa"/>
            <w:tcBorders>
              <w:top w:val="outset" w:color="auto" w:sz="6" w:space="0"/>
              <w:left w:val="outset" w:color="auto" w:sz="6" w:space="0"/>
              <w:bottom w:val="outset" w:color="auto" w:sz="6" w:space="0"/>
              <w:right w:val="outset" w:color="auto" w:sz="6" w:space="0"/>
            </w:tcBorders>
            <w:vAlign w:val="center"/>
          </w:tcPr>
          <w:p w14:paraId="412004E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静态</w:t>
            </w:r>
          </w:p>
        </w:tc>
        <w:tc>
          <w:tcPr>
            <w:tcW w:w="519" w:type="dxa"/>
            <w:tcBorders>
              <w:top w:val="outset" w:color="auto" w:sz="6" w:space="0"/>
              <w:left w:val="outset" w:color="auto" w:sz="6" w:space="0"/>
              <w:bottom w:val="outset" w:color="auto" w:sz="6" w:space="0"/>
              <w:right w:val="outset" w:color="auto" w:sz="6" w:space="0"/>
            </w:tcBorders>
            <w:vAlign w:val="center"/>
          </w:tcPr>
          <w:p w14:paraId="51987E1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动态</w:t>
            </w:r>
          </w:p>
        </w:tc>
        <w:tc>
          <w:tcPr>
            <w:tcW w:w="783" w:type="dxa"/>
            <w:tcBorders>
              <w:top w:val="outset" w:color="auto" w:sz="6" w:space="0"/>
              <w:left w:val="outset" w:color="auto" w:sz="6" w:space="0"/>
              <w:bottom w:val="outset" w:color="auto" w:sz="6" w:space="0"/>
              <w:right w:val="outset" w:color="auto" w:sz="6" w:space="0"/>
            </w:tcBorders>
            <w:vAlign w:val="center"/>
          </w:tcPr>
          <w:p w14:paraId="47411D1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静态</w:t>
            </w:r>
          </w:p>
        </w:tc>
        <w:tc>
          <w:tcPr>
            <w:tcW w:w="670" w:type="dxa"/>
            <w:tcBorders>
              <w:top w:val="outset" w:color="auto" w:sz="6" w:space="0"/>
              <w:left w:val="outset" w:color="auto" w:sz="6" w:space="0"/>
              <w:bottom w:val="outset" w:color="auto" w:sz="6" w:space="0"/>
              <w:right w:val="outset" w:color="auto" w:sz="6" w:space="0"/>
            </w:tcBorders>
            <w:vAlign w:val="center"/>
          </w:tcPr>
          <w:p w14:paraId="40FEEAB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动态</w:t>
            </w:r>
          </w:p>
        </w:tc>
        <w:tc>
          <w:tcPr>
            <w:tcW w:w="643" w:type="dxa"/>
            <w:tcBorders>
              <w:top w:val="outset" w:color="auto" w:sz="6" w:space="0"/>
              <w:left w:val="outset" w:color="auto" w:sz="6" w:space="0"/>
              <w:bottom w:val="outset" w:color="auto" w:sz="6" w:space="0"/>
              <w:right w:val="outset" w:color="auto" w:sz="6" w:space="0"/>
            </w:tcBorders>
            <w:vAlign w:val="center"/>
          </w:tcPr>
          <w:p w14:paraId="4C262E9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消毒后</w:t>
            </w:r>
          </w:p>
        </w:tc>
        <w:tc>
          <w:tcPr>
            <w:tcW w:w="602" w:type="dxa"/>
            <w:tcBorders>
              <w:top w:val="outset" w:color="auto" w:sz="6" w:space="0"/>
              <w:left w:val="outset" w:color="auto" w:sz="6" w:space="0"/>
              <w:bottom w:val="outset" w:color="auto" w:sz="6" w:space="0"/>
              <w:right w:val="outset" w:color="auto" w:sz="6" w:space="0"/>
            </w:tcBorders>
            <w:vAlign w:val="center"/>
          </w:tcPr>
          <w:p w14:paraId="5633777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工作中</w:t>
            </w:r>
          </w:p>
        </w:tc>
        <w:tc>
          <w:tcPr>
            <w:tcW w:w="629" w:type="dxa"/>
            <w:tcBorders>
              <w:top w:val="outset" w:color="auto" w:sz="6" w:space="0"/>
              <w:left w:val="outset" w:color="auto" w:sz="6" w:space="0"/>
              <w:bottom w:val="outset" w:color="auto" w:sz="6" w:space="0"/>
              <w:right w:val="outset" w:color="auto" w:sz="6" w:space="0"/>
            </w:tcBorders>
            <w:vAlign w:val="center"/>
          </w:tcPr>
          <w:p w14:paraId="0597121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消毒后</w:t>
            </w:r>
          </w:p>
        </w:tc>
        <w:tc>
          <w:tcPr>
            <w:tcW w:w="560" w:type="dxa"/>
            <w:tcBorders>
              <w:top w:val="outset" w:color="auto" w:sz="6" w:space="0"/>
              <w:left w:val="outset" w:color="auto" w:sz="6" w:space="0"/>
              <w:bottom w:val="outset" w:color="auto" w:sz="6" w:space="0"/>
              <w:right w:val="outset" w:color="auto" w:sz="6" w:space="0"/>
            </w:tcBorders>
            <w:vAlign w:val="center"/>
          </w:tcPr>
          <w:p w14:paraId="7CEA4DB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工作中</w:t>
            </w:r>
          </w:p>
        </w:tc>
        <w:tc>
          <w:tcPr>
            <w:tcW w:w="491" w:type="dxa"/>
            <w:tcBorders>
              <w:top w:val="outset" w:color="auto" w:sz="6" w:space="0"/>
              <w:left w:val="outset" w:color="auto" w:sz="6" w:space="0"/>
              <w:bottom w:val="outset" w:color="auto" w:sz="6" w:space="0"/>
              <w:right w:val="outset" w:color="auto" w:sz="6" w:space="0"/>
            </w:tcBorders>
            <w:vAlign w:val="center"/>
          </w:tcPr>
          <w:p w14:paraId="74253E6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新手套</w:t>
            </w:r>
          </w:p>
        </w:tc>
        <w:tc>
          <w:tcPr>
            <w:tcW w:w="879" w:type="dxa"/>
            <w:tcBorders>
              <w:top w:val="outset" w:color="auto" w:sz="6" w:space="0"/>
              <w:left w:val="outset" w:color="auto" w:sz="6" w:space="0"/>
              <w:bottom w:val="outset" w:color="auto" w:sz="6" w:space="0"/>
              <w:right w:val="outset" w:color="auto" w:sz="6" w:space="0"/>
            </w:tcBorders>
            <w:vAlign w:val="center"/>
          </w:tcPr>
          <w:p w14:paraId="7598661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工作中</w:t>
            </w:r>
          </w:p>
        </w:tc>
      </w:tr>
      <w:tr w14:paraId="686E4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4" w:hRule="atLeast"/>
          <w:tblCellSpacing w:w="0" w:type="dxa"/>
          <w:jc w:val="center"/>
        </w:trPr>
        <w:tc>
          <w:tcPr>
            <w:tcW w:w="630" w:type="dxa"/>
            <w:tcBorders>
              <w:top w:val="outset" w:color="auto" w:sz="6" w:space="0"/>
              <w:left w:val="outset" w:color="auto" w:sz="6" w:space="0"/>
              <w:bottom w:val="outset" w:color="auto" w:sz="6" w:space="0"/>
              <w:right w:val="outset" w:color="auto" w:sz="6" w:space="0"/>
            </w:tcBorders>
            <w:vAlign w:val="center"/>
          </w:tcPr>
          <w:p w14:paraId="494A232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Ⅰ</w:t>
            </w:r>
          </w:p>
        </w:tc>
        <w:tc>
          <w:tcPr>
            <w:tcW w:w="797" w:type="dxa"/>
            <w:tcBorders>
              <w:top w:val="outset" w:color="auto" w:sz="6" w:space="0"/>
              <w:left w:val="outset" w:color="auto" w:sz="6" w:space="0"/>
              <w:bottom w:val="outset" w:color="auto" w:sz="6" w:space="0"/>
              <w:right w:val="outset" w:color="auto" w:sz="6" w:space="0"/>
            </w:tcBorders>
            <w:vAlign w:val="center"/>
          </w:tcPr>
          <w:p w14:paraId="5FDBD54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≤3.5</w:t>
            </w:r>
          </w:p>
        </w:tc>
        <w:tc>
          <w:tcPr>
            <w:tcW w:w="531" w:type="dxa"/>
            <w:vMerge w:val="restart"/>
            <w:tcBorders>
              <w:top w:val="outset" w:color="auto" w:sz="6" w:space="0"/>
              <w:left w:val="outset" w:color="auto" w:sz="6" w:space="0"/>
              <w:bottom w:val="outset" w:color="auto" w:sz="6" w:space="0"/>
              <w:right w:val="outset" w:color="auto" w:sz="6" w:space="0"/>
            </w:tcBorders>
            <w:vAlign w:val="center"/>
          </w:tcPr>
          <w:p w14:paraId="55E765B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w:t>
            </w:r>
          </w:p>
          <w:p w14:paraId="45D65CD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w:t>
            </w:r>
          </w:p>
          <w:p w14:paraId="47243C4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比</w:t>
            </w:r>
          </w:p>
          <w:p w14:paraId="6101F8F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726" w:type="dxa"/>
            <w:tcBorders>
              <w:top w:val="outset" w:color="auto" w:sz="6" w:space="0"/>
              <w:left w:val="outset" w:color="auto" w:sz="6" w:space="0"/>
              <w:bottom w:val="outset" w:color="auto" w:sz="6" w:space="0"/>
              <w:right w:val="outset" w:color="auto" w:sz="6" w:space="0"/>
            </w:tcBorders>
            <w:vAlign w:val="center"/>
          </w:tcPr>
          <w:p w14:paraId="0624E99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w:t>
            </w:r>
          </w:p>
        </w:tc>
        <w:tc>
          <w:tcPr>
            <w:tcW w:w="519" w:type="dxa"/>
            <w:vMerge w:val="restart"/>
            <w:tcBorders>
              <w:top w:val="outset" w:color="auto" w:sz="6" w:space="0"/>
              <w:left w:val="outset" w:color="auto" w:sz="6" w:space="0"/>
              <w:bottom w:val="outset" w:color="auto" w:sz="6" w:space="0"/>
              <w:right w:val="outset" w:color="auto" w:sz="6" w:space="0"/>
            </w:tcBorders>
            <w:vAlign w:val="center"/>
          </w:tcPr>
          <w:p w14:paraId="45C19C7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w:t>
            </w:r>
          </w:p>
          <w:p w14:paraId="712D7986">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w:t>
            </w:r>
          </w:p>
          <w:p w14:paraId="6E83A6A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比</w:t>
            </w:r>
          </w:p>
          <w:p w14:paraId="02DD7B7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783" w:type="dxa"/>
            <w:tcBorders>
              <w:top w:val="outset" w:color="auto" w:sz="6" w:space="0"/>
              <w:left w:val="outset" w:color="auto" w:sz="6" w:space="0"/>
              <w:bottom w:val="outset" w:color="auto" w:sz="6" w:space="0"/>
              <w:right w:val="outset" w:color="auto" w:sz="6" w:space="0"/>
            </w:tcBorders>
            <w:vAlign w:val="center"/>
          </w:tcPr>
          <w:p w14:paraId="2BDCD12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≤0.2</w:t>
            </w:r>
          </w:p>
        </w:tc>
        <w:tc>
          <w:tcPr>
            <w:tcW w:w="670" w:type="dxa"/>
            <w:vMerge w:val="restart"/>
            <w:tcBorders>
              <w:top w:val="outset" w:color="auto" w:sz="6" w:space="0"/>
              <w:left w:val="outset" w:color="auto" w:sz="6" w:space="0"/>
              <w:bottom w:val="outset" w:color="auto" w:sz="6" w:space="0"/>
              <w:right w:val="outset" w:color="auto" w:sz="6" w:space="0"/>
            </w:tcBorders>
            <w:vAlign w:val="center"/>
          </w:tcPr>
          <w:p w14:paraId="3DFBCF6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w:t>
            </w:r>
          </w:p>
          <w:p w14:paraId="6FBA4FA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w:t>
            </w:r>
          </w:p>
          <w:p w14:paraId="33DABE4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比</w:t>
            </w:r>
          </w:p>
          <w:p w14:paraId="35C237C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=7.5</w:t>
            </w:r>
          </w:p>
        </w:tc>
        <w:tc>
          <w:tcPr>
            <w:tcW w:w="643" w:type="dxa"/>
            <w:tcBorders>
              <w:top w:val="outset" w:color="auto" w:sz="6" w:space="0"/>
              <w:left w:val="outset" w:color="auto" w:sz="6" w:space="0"/>
              <w:bottom w:val="outset" w:color="auto" w:sz="6" w:space="0"/>
              <w:right w:val="outset" w:color="auto" w:sz="6" w:space="0"/>
            </w:tcBorders>
            <w:vAlign w:val="center"/>
          </w:tcPr>
          <w:p w14:paraId="401F901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w:t>
            </w:r>
          </w:p>
        </w:tc>
        <w:tc>
          <w:tcPr>
            <w:tcW w:w="602" w:type="dxa"/>
            <w:vMerge w:val="restart"/>
            <w:tcBorders>
              <w:top w:val="outset" w:color="auto" w:sz="6" w:space="0"/>
              <w:left w:val="outset" w:color="auto" w:sz="6" w:space="0"/>
              <w:bottom w:val="outset" w:color="auto" w:sz="6" w:space="0"/>
              <w:right w:val="outset" w:color="auto" w:sz="6" w:space="0"/>
            </w:tcBorders>
          </w:tcPr>
          <w:p w14:paraId="77809E1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w:t>
            </w:r>
          </w:p>
          <w:p w14:paraId="39148DC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w:t>
            </w:r>
          </w:p>
          <w:p w14:paraId="32D647D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比</w:t>
            </w:r>
          </w:p>
          <w:p w14:paraId="2FAB76F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w:t>
            </w:r>
          </w:p>
        </w:tc>
        <w:tc>
          <w:tcPr>
            <w:tcW w:w="629" w:type="dxa"/>
            <w:tcBorders>
              <w:top w:val="outset" w:color="auto" w:sz="6" w:space="0"/>
              <w:left w:val="outset" w:color="auto" w:sz="6" w:space="0"/>
              <w:bottom w:val="outset" w:color="auto" w:sz="6" w:space="0"/>
              <w:right w:val="outset" w:color="auto" w:sz="6" w:space="0"/>
            </w:tcBorders>
            <w:vAlign w:val="center"/>
          </w:tcPr>
          <w:p w14:paraId="7DA7A944">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w:t>
            </w:r>
          </w:p>
        </w:tc>
        <w:tc>
          <w:tcPr>
            <w:tcW w:w="560" w:type="dxa"/>
            <w:vMerge w:val="restart"/>
            <w:tcBorders>
              <w:top w:val="outset" w:color="auto" w:sz="6" w:space="0"/>
              <w:left w:val="outset" w:color="auto" w:sz="6" w:space="0"/>
              <w:bottom w:val="outset" w:color="auto" w:sz="6" w:space="0"/>
              <w:right w:val="outset" w:color="auto" w:sz="6" w:space="0"/>
            </w:tcBorders>
          </w:tcPr>
          <w:p w14:paraId="2495AFD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动</w:t>
            </w:r>
          </w:p>
          <w:p w14:paraId="0194971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静</w:t>
            </w:r>
          </w:p>
          <w:p w14:paraId="21411DB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比</w:t>
            </w:r>
          </w:p>
          <w:p w14:paraId="3D01C5D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491" w:type="dxa"/>
            <w:tcBorders>
              <w:top w:val="outset" w:color="auto" w:sz="6" w:space="0"/>
              <w:left w:val="outset" w:color="auto" w:sz="6" w:space="0"/>
              <w:bottom w:val="outset" w:color="auto" w:sz="6" w:space="0"/>
              <w:right w:val="outset" w:color="auto" w:sz="6" w:space="0"/>
            </w:tcBorders>
            <w:vAlign w:val="center"/>
          </w:tcPr>
          <w:p w14:paraId="5070985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w:t>
            </w:r>
          </w:p>
        </w:tc>
        <w:tc>
          <w:tcPr>
            <w:tcW w:w="879" w:type="dxa"/>
            <w:tcBorders>
              <w:top w:val="outset" w:color="auto" w:sz="6" w:space="0"/>
              <w:left w:val="outset" w:color="auto" w:sz="6" w:space="0"/>
              <w:bottom w:val="outset" w:color="auto" w:sz="6" w:space="0"/>
              <w:right w:val="outset" w:color="auto" w:sz="6" w:space="0"/>
            </w:tcBorders>
            <w:vAlign w:val="center"/>
          </w:tcPr>
          <w:p w14:paraId="2AB677F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w:t>
            </w:r>
          </w:p>
        </w:tc>
      </w:tr>
      <w:tr w14:paraId="5D185D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4" w:hRule="atLeast"/>
          <w:tblCellSpacing w:w="0" w:type="dxa"/>
          <w:jc w:val="center"/>
        </w:trPr>
        <w:tc>
          <w:tcPr>
            <w:tcW w:w="630" w:type="dxa"/>
            <w:tcBorders>
              <w:top w:val="outset" w:color="auto" w:sz="6" w:space="0"/>
              <w:left w:val="outset" w:color="auto" w:sz="6" w:space="0"/>
              <w:bottom w:val="outset" w:color="auto" w:sz="6" w:space="0"/>
              <w:right w:val="outset" w:color="auto" w:sz="6" w:space="0"/>
            </w:tcBorders>
            <w:vAlign w:val="center"/>
          </w:tcPr>
          <w:p w14:paraId="4E06014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Ⅱ</w:t>
            </w:r>
          </w:p>
        </w:tc>
        <w:tc>
          <w:tcPr>
            <w:tcW w:w="797" w:type="dxa"/>
            <w:tcBorders>
              <w:top w:val="outset" w:color="auto" w:sz="6" w:space="0"/>
              <w:left w:val="outset" w:color="auto" w:sz="6" w:space="0"/>
              <w:bottom w:val="outset" w:color="auto" w:sz="6" w:space="0"/>
              <w:right w:val="outset" w:color="auto" w:sz="6" w:space="0"/>
            </w:tcBorders>
            <w:vAlign w:val="center"/>
          </w:tcPr>
          <w:p w14:paraId="3F78E33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≤350</w:t>
            </w:r>
          </w:p>
        </w:tc>
        <w:tc>
          <w:tcPr>
            <w:tcW w:w="531" w:type="dxa"/>
            <w:vMerge w:val="continue"/>
            <w:tcBorders>
              <w:top w:val="outset" w:color="auto" w:sz="6" w:space="0"/>
              <w:left w:val="outset" w:color="auto" w:sz="6" w:space="0"/>
              <w:bottom w:val="outset" w:color="auto" w:sz="6" w:space="0"/>
              <w:right w:val="outset" w:color="auto" w:sz="6" w:space="0"/>
            </w:tcBorders>
            <w:vAlign w:val="center"/>
          </w:tcPr>
          <w:p w14:paraId="62F5D0A0">
            <w:pPr>
              <w:spacing w:after="0" w:line="360" w:lineRule="auto"/>
              <w:ind w:firstLine="0"/>
              <w:jc w:val="center"/>
              <w:rPr>
                <w:rFonts w:hint="eastAsia" w:ascii="宋体" w:hAnsi="宋体" w:eastAsia="宋体" w:cs="宋体"/>
                <w:color w:val="000000"/>
                <w:kern w:val="2"/>
                <w:sz w:val="24"/>
                <w:szCs w:val="24"/>
                <w:lang w:eastAsia="zh-CN" w:bidi="ar-SA"/>
              </w:rPr>
            </w:pPr>
          </w:p>
        </w:tc>
        <w:tc>
          <w:tcPr>
            <w:tcW w:w="726" w:type="dxa"/>
            <w:tcBorders>
              <w:top w:val="outset" w:color="auto" w:sz="6" w:space="0"/>
              <w:left w:val="outset" w:color="auto" w:sz="6" w:space="0"/>
              <w:bottom w:val="outset" w:color="auto" w:sz="6" w:space="0"/>
              <w:right w:val="outset" w:color="auto" w:sz="6" w:space="0"/>
            </w:tcBorders>
            <w:vAlign w:val="center"/>
          </w:tcPr>
          <w:p w14:paraId="65330BE1">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w:t>
            </w:r>
          </w:p>
        </w:tc>
        <w:tc>
          <w:tcPr>
            <w:tcW w:w="519" w:type="dxa"/>
            <w:vMerge w:val="continue"/>
            <w:tcBorders>
              <w:top w:val="outset" w:color="auto" w:sz="6" w:space="0"/>
              <w:left w:val="outset" w:color="auto" w:sz="6" w:space="0"/>
              <w:bottom w:val="outset" w:color="auto" w:sz="6" w:space="0"/>
              <w:right w:val="outset" w:color="auto" w:sz="6" w:space="0"/>
            </w:tcBorders>
            <w:vAlign w:val="center"/>
          </w:tcPr>
          <w:p w14:paraId="767808FE">
            <w:pPr>
              <w:spacing w:after="0" w:line="360" w:lineRule="auto"/>
              <w:ind w:firstLine="0"/>
              <w:jc w:val="center"/>
              <w:rPr>
                <w:rFonts w:hint="eastAsia" w:ascii="宋体" w:hAnsi="宋体" w:eastAsia="宋体" w:cs="宋体"/>
                <w:color w:val="000000"/>
                <w:kern w:val="2"/>
                <w:sz w:val="24"/>
                <w:szCs w:val="24"/>
                <w:lang w:eastAsia="zh-CN" w:bidi="ar-SA"/>
              </w:rPr>
            </w:pPr>
          </w:p>
        </w:tc>
        <w:tc>
          <w:tcPr>
            <w:tcW w:w="783" w:type="dxa"/>
            <w:tcBorders>
              <w:top w:val="outset" w:color="auto" w:sz="6" w:space="0"/>
              <w:left w:val="outset" w:color="auto" w:sz="6" w:space="0"/>
              <w:bottom w:val="outset" w:color="auto" w:sz="6" w:space="0"/>
              <w:right w:val="outset" w:color="auto" w:sz="6" w:space="0"/>
            </w:tcBorders>
            <w:vAlign w:val="center"/>
          </w:tcPr>
          <w:p w14:paraId="266F3253">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≤1.5</w:t>
            </w:r>
          </w:p>
        </w:tc>
        <w:tc>
          <w:tcPr>
            <w:tcW w:w="670" w:type="dxa"/>
            <w:vMerge w:val="continue"/>
            <w:tcBorders>
              <w:top w:val="outset" w:color="auto" w:sz="6" w:space="0"/>
              <w:left w:val="outset" w:color="auto" w:sz="6" w:space="0"/>
              <w:bottom w:val="outset" w:color="auto" w:sz="6" w:space="0"/>
              <w:right w:val="outset" w:color="auto" w:sz="6" w:space="0"/>
            </w:tcBorders>
            <w:vAlign w:val="center"/>
          </w:tcPr>
          <w:p w14:paraId="3142C995">
            <w:pPr>
              <w:spacing w:after="0" w:line="360" w:lineRule="auto"/>
              <w:ind w:firstLine="0"/>
              <w:jc w:val="center"/>
              <w:rPr>
                <w:rFonts w:hint="eastAsia" w:ascii="宋体" w:hAnsi="宋体" w:eastAsia="宋体" w:cs="宋体"/>
                <w:color w:val="000000"/>
                <w:kern w:val="2"/>
                <w:sz w:val="24"/>
                <w:szCs w:val="24"/>
                <w:lang w:eastAsia="zh-CN" w:bidi="ar-SA"/>
              </w:rPr>
            </w:pPr>
          </w:p>
        </w:tc>
        <w:tc>
          <w:tcPr>
            <w:tcW w:w="643" w:type="dxa"/>
            <w:tcBorders>
              <w:top w:val="outset" w:color="auto" w:sz="6" w:space="0"/>
              <w:left w:val="outset" w:color="auto" w:sz="6" w:space="0"/>
              <w:bottom w:val="outset" w:color="auto" w:sz="6" w:space="0"/>
              <w:right w:val="outset" w:color="auto" w:sz="6" w:space="0"/>
            </w:tcBorders>
            <w:vAlign w:val="center"/>
          </w:tcPr>
          <w:p w14:paraId="0B3D8FF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602" w:type="dxa"/>
            <w:vMerge w:val="continue"/>
            <w:tcBorders>
              <w:top w:val="outset" w:color="auto" w:sz="6" w:space="0"/>
              <w:left w:val="outset" w:color="auto" w:sz="6" w:space="0"/>
              <w:bottom w:val="outset" w:color="auto" w:sz="6" w:space="0"/>
              <w:right w:val="outset" w:color="auto" w:sz="6" w:space="0"/>
            </w:tcBorders>
            <w:vAlign w:val="center"/>
          </w:tcPr>
          <w:p w14:paraId="748D05D6">
            <w:pPr>
              <w:spacing w:after="0" w:line="360" w:lineRule="auto"/>
              <w:ind w:firstLine="0"/>
              <w:jc w:val="center"/>
              <w:rPr>
                <w:rFonts w:hint="eastAsia" w:ascii="宋体" w:hAnsi="宋体" w:eastAsia="宋体" w:cs="宋体"/>
                <w:color w:val="000000"/>
                <w:kern w:val="2"/>
                <w:sz w:val="24"/>
                <w:szCs w:val="24"/>
                <w:lang w:eastAsia="zh-CN" w:bidi="ar-SA"/>
              </w:rPr>
            </w:pPr>
          </w:p>
        </w:tc>
        <w:tc>
          <w:tcPr>
            <w:tcW w:w="629" w:type="dxa"/>
            <w:tcBorders>
              <w:top w:val="outset" w:color="auto" w:sz="6" w:space="0"/>
              <w:left w:val="outset" w:color="auto" w:sz="6" w:space="0"/>
              <w:bottom w:val="outset" w:color="auto" w:sz="6" w:space="0"/>
              <w:right w:val="outset" w:color="auto" w:sz="6" w:space="0"/>
            </w:tcBorders>
            <w:vAlign w:val="center"/>
          </w:tcPr>
          <w:p w14:paraId="66EE218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560" w:type="dxa"/>
            <w:vMerge w:val="continue"/>
            <w:tcBorders>
              <w:top w:val="outset" w:color="auto" w:sz="6" w:space="0"/>
              <w:left w:val="outset" w:color="auto" w:sz="6" w:space="0"/>
              <w:bottom w:val="outset" w:color="auto" w:sz="6" w:space="0"/>
              <w:right w:val="outset" w:color="auto" w:sz="6" w:space="0"/>
            </w:tcBorders>
            <w:vAlign w:val="center"/>
          </w:tcPr>
          <w:p w14:paraId="143C486D">
            <w:pPr>
              <w:spacing w:after="0" w:line="360" w:lineRule="auto"/>
              <w:ind w:firstLine="0"/>
              <w:jc w:val="center"/>
              <w:rPr>
                <w:rFonts w:hint="eastAsia" w:ascii="宋体" w:hAnsi="宋体" w:eastAsia="宋体" w:cs="宋体"/>
                <w:color w:val="000000"/>
                <w:kern w:val="2"/>
                <w:sz w:val="24"/>
                <w:szCs w:val="24"/>
                <w:lang w:eastAsia="zh-CN" w:bidi="ar-SA"/>
              </w:rPr>
            </w:pPr>
          </w:p>
        </w:tc>
        <w:tc>
          <w:tcPr>
            <w:tcW w:w="491" w:type="dxa"/>
            <w:tcBorders>
              <w:top w:val="outset" w:color="auto" w:sz="6" w:space="0"/>
              <w:left w:val="outset" w:color="auto" w:sz="6" w:space="0"/>
              <w:bottom w:val="outset" w:color="auto" w:sz="6" w:space="0"/>
              <w:right w:val="outset" w:color="auto" w:sz="6" w:space="0"/>
            </w:tcBorders>
            <w:vAlign w:val="center"/>
          </w:tcPr>
          <w:p w14:paraId="731B167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w:t>
            </w:r>
          </w:p>
        </w:tc>
        <w:tc>
          <w:tcPr>
            <w:tcW w:w="879" w:type="dxa"/>
            <w:tcBorders>
              <w:top w:val="outset" w:color="auto" w:sz="6" w:space="0"/>
              <w:left w:val="outset" w:color="auto" w:sz="6" w:space="0"/>
              <w:bottom w:val="outset" w:color="auto" w:sz="6" w:space="0"/>
              <w:right w:val="outset" w:color="auto" w:sz="6" w:space="0"/>
            </w:tcBorders>
            <w:vAlign w:val="center"/>
          </w:tcPr>
          <w:p w14:paraId="0CCB0779">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w:t>
            </w:r>
          </w:p>
        </w:tc>
      </w:tr>
      <w:tr w14:paraId="7FC35E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4" w:hRule="atLeast"/>
          <w:tblCellSpacing w:w="0" w:type="dxa"/>
          <w:jc w:val="center"/>
        </w:trPr>
        <w:tc>
          <w:tcPr>
            <w:tcW w:w="630" w:type="dxa"/>
            <w:tcBorders>
              <w:top w:val="outset" w:color="auto" w:sz="6" w:space="0"/>
              <w:left w:val="outset" w:color="auto" w:sz="6" w:space="0"/>
              <w:bottom w:val="outset" w:color="auto" w:sz="6" w:space="0"/>
              <w:right w:val="outset" w:color="auto" w:sz="6" w:space="0"/>
            </w:tcBorders>
            <w:vAlign w:val="center"/>
          </w:tcPr>
          <w:p w14:paraId="6F9CCEE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Ⅲ</w:t>
            </w:r>
          </w:p>
        </w:tc>
        <w:tc>
          <w:tcPr>
            <w:tcW w:w="797" w:type="dxa"/>
            <w:tcBorders>
              <w:top w:val="outset" w:color="auto" w:sz="6" w:space="0"/>
              <w:left w:val="outset" w:color="auto" w:sz="6" w:space="0"/>
              <w:bottom w:val="outset" w:color="auto" w:sz="6" w:space="0"/>
              <w:right w:val="outset" w:color="auto" w:sz="6" w:space="0"/>
            </w:tcBorders>
            <w:vAlign w:val="center"/>
          </w:tcPr>
          <w:p w14:paraId="3BD7015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≤3500</w:t>
            </w:r>
          </w:p>
        </w:tc>
        <w:tc>
          <w:tcPr>
            <w:tcW w:w="531" w:type="dxa"/>
            <w:vMerge w:val="continue"/>
            <w:tcBorders>
              <w:top w:val="outset" w:color="auto" w:sz="6" w:space="0"/>
              <w:left w:val="outset" w:color="auto" w:sz="6" w:space="0"/>
              <w:bottom w:val="outset" w:color="auto" w:sz="6" w:space="0"/>
              <w:right w:val="outset" w:color="auto" w:sz="6" w:space="0"/>
            </w:tcBorders>
            <w:vAlign w:val="center"/>
          </w:tcPr>
          <w:p w14:paraId="64AD5FEB">
            <w:pPr>
              <w:spacing w:after="0" w:line="360" w:lineRule="auto"/>
              <w:ind w:firstLine="0"/>
              <w:jc w:val="center"/>
              <w:rPr>
                <w:rFonts w:hint="eastAsia" w:ascii="宋体" w:hAnsi="宋体" w:eastAsia="宋体" w:cs="宋体"/>
                <w:color w:val="000000"/>
                <w:kern w:val="2"/>
                <w:sz w:val="24"/>
                <w:szCs w:val="24"/>
                <w:lang w:eastAsia="zh-CN" w:bidi="ar-SA"/>
              </w:rPr>
            </w:pPr>
          </w:p>
        </w:tc>
        <w:tc>
          <w:tcPr>
            <w:tcW w:w="726" w:type="dxa"/>
            <w:tcBorders>
              <w:top w:val="outset" w:color="auto" w:sz="6" w:space="0"/>
              <w:left w:val="outset" w:color="auto" w:sz="6" w:space="0"/>
              <w:bottom w:val="outset" w:color="auto" w:sz="6" w:space="0"/>
              <w:right w:val="outset" w:color="auto" w:sz="6" w:space="0"/>
            </w:tcBorders>
            <w:vAlign w:val="center"/>
          </w:tcPr>
          <w:p w14:paraId="094C970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≤30</w:t>
            </w:r>
          </w:p>
        </w:tc>
        <w:tc>
          <w:tcPr>
            <w:tcW w:w="519" w:type="dxa"/>
            <w:vMerge w:val="continue"/>
            <w:tcBorders>
              <w:top w:val="outset" w:color="auto" w:sz="6" w:space="0"/>
              <w:left w:val="outset" w:color="auto" w:sz="6" w:space="0"/>
              <w:bottom w:val="outset" w:color="auto" w:sz="6" w:space="0"/>
              <w:right w:val="outset" w:color="auto" w:sz="6" w:space="0"/>
            </w:tcBorders>
            <w:vAlign w:val="center"/>
          </w:tcPr>
          <w:p w14:paraId="31118BC7">
            <w:pPr>
              <w:spacing w:after="0" w:line="360" w:lineRule="auto"/>
              <w:ind w:firstLine="0"/>
              <w:jc w:val="center"/>
              <w:rPr>
                <w:rFonts w:hint="eastAsia" w:ascii="宋体" w:hAnsi="宋体" w:eastAsia="宋体" w:cs="宋体"/>
                <w:color w:val="000000"/>
                <w:kern w:val="2"/>
                <w:sz w:val="24"/>
                <w:szCs w:val="24"/>
                <w:lang w:eastAsia="zh-CN" w:bidi="ar-SA"/>
              </w:rPr>
            </w:pPr>
          </w:p>
        </w:tc>
        <w:tc>
          <w:tcPr>
            <w:tcW w:w="783" w:type="dxa"/>
            <w:tcBorders>
              <w:top w:val="outset" w:color="auto" w:sz="6" w:space="0"/>
              <w:left w:val="outset" w:color="auto" w:sz="6" w:space="0"/>
              <w:bottom w:val="outset" w:color="auto" w:sz="6" w:space="0"/>
              <w:right w:val="outset" w:color="auto" w:sz="6" w:space="0"/>
            </w:tcBorders>
            <w:vAlign w:val="center"/>
          </w:tcPr>
          <w:p w14:paraId="4A02C1F5">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≤4</w:t>
            </w:r>
          </w:p>
        </w:tc>
        <w:tc>
          <w:tcPr>
            <w:tcW w:w="670" w:type="dxa"/>
            <w:vMerge w:val="continue"/>
            <w:tcBorders>
              <w:top w:val="outset" w:color="auto" w:sz="6" w:space="0"/>
              <w:left w:val="outset" w:color="auto" w:sz="6" w:space="0"/>
              <w:bottom w:val="outset" w:color="auto" w:sz="6" w:space="0"/>
              <w:right w:val="outset" w:color="auto" w:sz="6" w:space="0"/>
            </w:tcBorders>
            <w:vAlign w:val="center"/>
          </w:tcPr>
          <w:p w14:paraId="37735A80">
            <w:pPr>
              <w:spacing w:after="0" w:line="360" w:lineRule="auto"/>
              <w:ind w:firstLine="0"/>
              <w:jc w:val="center"/>
              <w:rPr>
                <w:rFonts w:hint="eastAsia" w:ascii="宋体" w:hAnsi="宋体" w:eastAsia="宋体" w:cs="宋体"/>
                <w:color w:val="000000"/>
                <w:kern w:val="2"/>
                <w:sz w:val="24"/>
                <w:szCs w:val="24"/>
                <w:lang w:eastAsia="zh-CN" w:bidi="ar-SA"/>
              </w:rPr>
            </w:pPr>
          </w:p>
        </w:tc>
        <w:tc>
          <w:tcPr>
            <w:tcW w:w="643" w:type="dxa"/>
            <w:tcBorders>
              <w:top w:val="outset" w:color="auto" w:sz="6" w:space="0"/>
              <w:left w:val="outset" w:color="auto" w:sz="6" w:space="0"/>
              <w:bottom w:val="outset" w:color="auto" w:sz="6" w:space="0"/>
              <w:right w:val="outset" w:color="auto" w:sz="6" w:space="0"/>
            </w:tcBorders>
            <w:vAlign w:val="center"/>
          </w:tcPr>
          <w:p w14:paraId="618AB2B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602" w:type="dxa"/>
            <w:vMerge w:val="continue"/>
            <w:tcBorders>
              <w:top w:val="outset" w:color="auto" w:sz="6" w:space="0"/>
              <w:left w:val="outset" w:color="auto" w:sz="6" w:space="0"/>
              <w:bottom w:val="outset" w:color="auto" w:sz="6" w:space="0"/>
              <w:right w:val="outset" w:color="auto" w:sz="6" w:space="0"/>
            </w:tcBorders>
            <w:vAlign w:val="center"/>
          </w:tcPr>
          <w:p w14:paraId="4D291524">
            <w:pPr>
              <w:spacing w:after="0" w:line="360" w:lineRule="auto"/>
              <w:ind w:firstLine="0"/>
              <w:jc w:val="center"/>
              <w:rPr>
                <w:rFonts w:hint="eastAsia" w:ascii="宋体" w:hAnsi="宋体" w:eastAsia="宋体" w:cs="宋体"/>
                <w:color w:val="000000"/>
                <w:kern w:val="2"/>
                <w:sz w:val="24"/>
                <w:szCs w:val="24"/>
                <w:lang w:eastAsia="zh-CN" w:bidi="ar-SA"/>
              </w:rPr>
            </w:pPr>
          </w:p>
        </w:tc>
        <w:tc>
          <w:tcPr>
            <w:tcW w:w="629" w:type="dxa"/>
            <w:tcBorders>
              <w:top w:val="outset" w:color="auto" w:sz="6" w:space="0"/>
              <w:left w:val="outset" w:color="auto" w:sz="6" w:space="0"/>
              <w:bottom w:val="outset" w:color="auto" w:sz="6" w:space="0"/>
              <w:right w:val="outset" w:color="auto" w:sz="6" w:space="0"/>
            </w:tcBorders>
            <w:vAlign w:val="center"/>
          </w:tcPr>
          <w:p w14:paraId="45091C8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560" w:type="dxa"/>
            <w:vMerge w:val="continue"/>
            <w:tcBorders>
              <w:top w:val="outset" w:color="auto" w:sz="6" w:space="0"/>
              <w:left w:val="outset" w:color="auto" w:sz="6" w:space="0"/>
              <w:bottom w:val="outset" w:color="auto" w:sz="6" w:space="0"/>
              <w:right w:val="outset" w:color="auto" w:sz="6" w:space="0"/>
            </w:tcBorders>
            <w:vAlign w:val="center"/>
          </w:tcPr>
          <w:p w14:paraId="396DF698">
            <w:pPr>
              <w:spacing w:after="0" w:line="360" w:lineRule="auto"/>
              <w:ind w:firstLine="0"/>
              <w:jc w:val="center"/>
              <w:rPr>
                <w:rFonts w:hint="eastAsia" w:ascii="宋体" w:hAnsi="宋体" w:eastAsia="宋体" w:cs="宋体"/>
                <w:color w:val="000000"/>
                <w:kern w:val="2"/>
                <w:sz w:val="24"/>
                <w:szCs w:val="24"/>
                <w:lang w:eastAsia="zh-CN" w:bidi="ar-SA"/>
              </w:rPr>
            </w:pPr>
          </w:p>
        </w:tc>
        <w:tc>
          <w:tcPr>
            <w:tcW w:w="491" w:type="dxa"/>
            <w:tcBorders>
              <w:top w:val="outset" w:color="auto" w:sz="6" w:space="0"/>
              <w:left w:val="outset" w:color="auto" w:sz="6" w:space="0"/>
              <w:bottom w:val="outset" w:color="auto" w:sz="6" w:space="0"/>
              <w:right w:val="outset" w:color="auto" w:sz="6" w:space="0"/>
            </w:tcBorders>
            <w:vAlign w:val="center"/>
          </w:tcPr>
          <w:p w14:paraId="2D789DF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w:t>
            </w:r>
          </w:p>
        </w:tc>
        <w:tc>
          <w:tcPr>
            <w:tcW w:w="879" w:type="dxa"/>
            <w:tcBorders>
              <w:top w:val="outset" w:color="auto" w:sz="6" w:space="0"/>
              <w:left w:val="outset" w:color="auto" w:sz="6" w:space="0"/>
              <w:bottom w:val="outset" w:color="auto" w:sz="6" w:space="0"/>
              <w:right w:val="outset" w:color="auto" w:sz="6" w:space="0"/>
            </w:tcBorders>
            <w:vAlign w:val="center"/>
          </w:tcPr>
          <w:p w14:paraId="395AABA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r>
      <w:tr w14:paraId="4E69AC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29" w:hRule="atLeast"/>
          <w:tblCellSpacing w:w="0" w:type="dxa"/>
          <w:jc w:val="center"/>
        </w:trPr>
        <w:tc>
          <w:tcPr>
            <w:tcW w:w="630" w:type="dxa"/>
            <w:tcBorders>
              <w:top w:val="outset" w:color="auto" w:sz="6" w:space="0"/>
              <w:left w:val="outset" w:color="auto" w:sz="6" w:space="0"/>
              <w:bottom w:val="outset" w:color="auto" w:sz="6" w:space="0"/>
              <w:right w:val="outset" w:color="auto" w:sz="6" w:space="0"/>
            </w:tcBorders>
            <w:vAlign w:val="center"/>
          </w:tcPr>
          <w:p w14:paraId="70FC068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Ⅳ</w:t>
            </w:r>
          </w:p>
        </w:tc>
        <w:tc>
          <w:tcPr>
            <w:tcW w:w="797" w:type="dxa"/>
            <w:tcBorders>
              <w:top w:val="outset" w:color="auto" w:sz="6" w:space="0"/>
              <w:left w:val="outset" w:color="auto" w:sz="6" w:space="0"/>
              <w:bottom w:val="outset" w:color="auto" w:sz="6" w:space="0"/>
              <w:right w:val="outset" w:color="auto" w:sz="6" w:space="0"/>
            </w:tcBorders>
            <w:vAlign w:val="center"/>
          </w:tcPr>
          <w:p w14:paraId="72313BC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≤10500</w:t>
            </w:r>
          </w:p>
        </w:tc>
        <w:tc>
          <w:tcPr>
            <w:tcW w:w="531" w:type="dxa"/>
            <w:vMerge w:val="continue"/>
            <w:tcBorders>
              <w:top w:val="outset" w:color="auto" w:sz="6" w:space="0"/>
              <w:left w:val="outset" w:color="auto" w:sz="6" w:space="0"/>
              <w:bottom w:val="outset" w:color="auto" w:sz="6" w:space="0"/>
              <w:right w:val="outset" w:color="auto" w:sz="6" w:space="0"/>
            </w:tcBorders>
            <w:vAlign w:val="center"/>
          </w:tcPr>
          <w:p w14:paraId="3DF59D1F">
            <w:pPr>
              <w:spacing w:after="0" w:line="360" w:lineRule="auto"/>
              <w:ind w:firstLine="0"/>
              <w:jc w:val="center"/>
              <w:rPr>
                <w:rFonts w:hint="eastAsia" w:ascii="宋体" w:hAnsi="宋体" w:eastAsia="宋体" w:cs="宋体"/>
                <w:color w:val="000000"/>
                <w:kern w:val="2"/>
                <w:sz w:val="24"/>
                <w:szCs w:val="24"/>
                <w:lang w:eastAsia="zh-CN" w:bidi="ar-SA"/>
              </w:rPr>
            </w:pPr>
          </w:p>
        </w:tc>
        <w:tc>
          <w:tcPr>
            <w:tcW w:w="726" w:type="dxa"/>
            <w:tcBorders>
              <w:top w:val="outset" w:color="auto" w:sz="6" w:space="0"/>
              <w:left w:val="outset" w:color="auto" w:sz="6" w:space="0"/>
              <w:bottom w:val="outset" w:color="auto" w:sz="6" w:space="0"/>
              <w:right w:val="outset" w:color="auto" w:sz="6" w:space="0"/>
            </w:tcBorders>
            <w:vAlign w:val="center"/>
          </w:tcPr>
          <w:p w14:paraId="531AE24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≤90</w:t>
            </w:r>
          </w:p>
        </w:tc>
        <w:tc>
          <w:tcPr>
            <w:tcW w:w="519" w:type="dxa"/>
            <w:vMerge w:val="continue"/>
            <w:tcBorders>
              <w:top w:val="outset" w:color="auto" w:sz="6" w:space="0"/>
              <w:left w:val="outset" w:color="auto" w:sz="6" w:space="0"/>
              <w:bottom w:val="outset" w:color="auto" w:sz="6" w:space="0"/>
              <w:right w:val="outset" w:color="auto" w:sz="6" w:space="0"/>
            </w:tcBorders>
            <w:vAlign w:val="center"/>
          </w:tcPr>
          <w:p w14:paraId="5436E05E">
            <w:pPr>
              <w:spacing w:after="0" w:line="360" w:lineRule="auto"/>
              <w:ind w:firstLine="0"/>
              <w:jc w:val="center"/>
              <w:rPr>
                <w:rFonts w:hint="eastAsia" w:ascii="宋体" w:hAnsi="宋体" w:eastAsia="宋体" w:cs="宋体"/>
                <w:color w:val="000000"/>
                <w:kern w:val="2"/>
                <w:sz w:val="24"/>
                <w:szCs w:val="24"/>
                <w:lang w:eastAsia="zh-CN" w:bidi="ar-SA"/>
              </w:rPr>
            </w:pPr>
          </w:p>
        </w:tc>
        <w:tc>
          <w:tcPr>
            <w:tcW w:w="783" w:type="dxa"/>
            <w:tcBorders>
              <w:top w:val="outset" w:color="auto" w:sz="6" w:space="0"/>
              <w:left w:val="outset" w:color="auto" w:sz="6" w:space="0"/>
              <w:bottom w:val="outset" w:color="auto" w:sz="6" w:space="0"/>
              <w:right w:val="outset" w:color="auto" w:sz="6" w:space="0"/>
            </w:tcBorders>
            <w:vAlign w:val="center"/>
          </w:tcPr>
          <w:p w14:paraId="62AB559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670" w:type="dxa"/>
            <w:vMerge w:val="continue"/>
            <w:tcBorders>
              <w:top w:val="outset" w:color="auto" w:sz="6" w:space="0"/>
              <w:left w:val="outset" w:color="auto" w:sz="6" w:space="0"/>
              <w:bottom w:val="outset" w:color="auto" w:sz="6" w:space="0"/>
              <w:right w:val="outset" w:color="auto" w:sz="6" w:space="0"/>
            </w:tcBorders>
            <w:vAlign w:val="center"/>
          </w:tcPr>
          <w:p w14:paraId="19CFD646">
            <w:pPr>
              <w:spacing w:after="0" w:line="360" w:lineRule="auto"/>
              <w:ind w:firstLine="0"/>
              <w:jc w:val="center"/>
              <w:rPr>
                <w:rFonts w:hint="eastAsia" w:ascii="宋体" w:hAnsi="宋体" w:eastAsia="宋体" w:cs="宋体"/>
                <w:color w:val="000000"/>
                <w:kern w:val="2"/>
                <w:sz w:val="24"/>
                <w:szCs w:val="24"/>
                <w:lang w:eastAsia="zh-CN" w:bidi="ar-SA"/>
              </w:rPr>
            </w:pPr>
          </w:p>
        </w:tc>
        <w:tc>
          <w:tcPr>
            <w:tcW w:w="643" w:type="dxa"/>
            <w:tcBorders>
              <w:top w:val="outset" w:color="auto" w:sz="6" w:space="0"/>
              <w:left w:val="outset" w:color="auto" w:sz="6" w:space="0"/>
              <w:bottom w:val="outset" w:color="auto" w:sz="6" w:space="0"/>
              <w:right w:val="outset" w:color="auto" w:sz="6" w:space="0"/>
            </w:tcBorders>
            <w:vAlign w:val="center"/>
          </w:tcPr>
          <w:p w14:paraId="61FCC0D8">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602" w:type="dxa"/>
            <w:vMerge w:val="continue"/>
            <w:tcBorders>
              <w:top w:val="outset" w:color="auto" w:sz="6" w:space="0"/>
              <w:left w:val="outset" w:color="auto" w:sz="6" w:space="0"/>
              <w:bottom w:val="outset" w:color="auto" w:sz="6" w:space="0"/>
              <w:right w:val="outset" w:color="auto" w:sz="6" w:space="0"/>
            </w:tcBorders>
            <w:vAlign w:val="center"/>
          </w:tcPr>
          <w:p w14:paraId="7DA33714">
            <w:pPr>
              <w:spacing w:after="0" w:line="360" w:lineRule="auto"/>
              <w:ind w:firstLine="0"/>
              <w:jc w:val="center"/>
              <w:rPr>
                <w:rFonts w:hint="eastAsia" w:ascii="宋体" w:hAnsi="宋体" w:eastAsia="宋体" w:cs="宋体"/>
                <w:color w:val="000000"/>
                <w:kern w:val="2"/>
                <w:sz w:val="24"/>
                <w:szCs w:val="24"/>
                <w:lang w:eastAsia="zh-CN" w:bidi="ar-SA"/>
              </w:rPr>
            </w:pPr>
          </w:p>
        </w:tc>
        <w:tc>
          <w:tcPr>
            <w:tcW w:w="629" w:type="dxa"/>
            <w:tcBorders>
              <w:top w:val="outset" w:color="auto" w:sz="6" w:space="0"/>
              <w:left w:val="outset" w:color="auto" w:sz="6" w:space="0"/>
              <w:bottom w:val="outset" w:color="auto" w:sz="6" w:space="0"/>
              <w:right w:val="outset" w:color="auto" w:sz="6" w:space="0"/>
            </w:tcBorders>
            <w:vAlign w:val="center"/>
          </w:tcPr>
          <w:p w14:paraId="3869883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c>
          <w:tcPr>
            <w:tcW w:w="560" w:type="dxa"/>
            <w:vMerge w:val="continue"/>
            <w:tcBorders>
              <w:top w:val="outset" w:color="auto" w:sz="6" w:space="0"/>
              <w:left w:val="outset" w:color="auto" w:sz="6" w:space="0"/>
              <w:bottom w:val="outset" w:color="auto" w:sz="6" w:space="0"/>
              <w:right w:val="outset" w:color="auto" w:sz="6" w:space="0"/>
            </w:tcBorders>
            <w:vAlign w:val="center"/>
          </w:tcPr>
          <w:p w14:paraId="161D37C2">
            <w:pPr>
              <w:spacing w:after="0" w:line="360" w:lineRule="auto"/>
              <w:ind w:firstLine="0"/>
              <w:jc w:val="center"/>
              <w:rPr>
                <w:rFonts w:hint="eastAsia" w:ascii="宋体" w:hAnsi="宋体" w:eastAsia="宋体" w:cs="宋体"/>
                <w:color w:val="000000"/>
                <w:kern w:val="2"/>
                <w:sz w:val="24"/>
                <w:szCs w:val="24"/>
                <w:lang w:eastAsia="zh-CN" w:bidi="ar-SA"/>
              </w:rPr>
            </w:pPr>
          </w:p>
        </w:tc>
        <w:tc>
          <w:tcPr>
            <w:tcW w:w="491" w:type="dxa"/>
            <w:tcBorders>
              <w:top w:val="outset" w:color="auto" w:sz="6" w:space="0"/>
              <w:left w:val="outset" w:color="auto" w:sz="6" w:space="0"/>
              <w:bottom w:val="outset" w:color="auto" w:sz="6" w:space="0"/>
              <w:right w:val="outset" w:color="auto" w:sz="6" w:space="0"/>
            </w:tcBorders>
            <w:vAlign w:val="center"/>
          </w:tcPr>
          <w:p w14:paraId="1FC0006B">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0</w:t>
            </w:r>
          </w:p>
        </w:tc>
        <w:tc>
          <w:tcPr>
            <w:tcW w:w="879" w:type="dxa"/>
            <w:tcBorders>
              <w:top w:val="outset" w:color="auto" w:sz="6" w:space="0"/>
              <w:left w:val="outset" w:color="auto" w:sz="6" w:space="0"/>
              <w:bottom w:val="outset" w:color="auto" w:sz="6" w:space="0"/>
              <w:right w:val="outset" w:color="auto" w:sz="6" w:space="0"/>
            </w:tcBorders>
            <w:vAlign w:val="center"/>
          </w:tcPr>
          <w:p w14:paraId="6E908822">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≤5</w:t>
            </w:r>
          </w:p>
        </w:tc>
      </w:tr>
      <w:tr w14:paraId="710B5D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8" w:hRule="atLeast"/>
          <w:tblCellSpacing w:w="0" w:type="dxa"/>
          <w:jc w:val="center"/>
        </w:trPr>
        <w:tc>
          <w:tcPr>
            <w:tcW w:w="630" w:type="dxa"/>
            <w:tcBorders>
              <w:top w:val="outset" w:color="auto" w:sz="6" w:space="0"/>
              <w:left w:val="outset" w:color="auto" w:sz="6" w:space="0"/>
              <w:bottom w:val="outset" w:color="auto" w:sz="6" w:space="0"/>
              <w:right w:val="outset" w:color="auto" w:sz="6" w:space="0"/>
            </w:tcBorders>
            <w:vAlign w:val="center"/>
          </w:tcPr>
          <w:p w14:paraId="4F846B87">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 xml:space="preserve">非洁 </w:t>
            </w:r>
          </w:p>
          <w:p w14:paraId="3B6DC92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净区</w:t>
            </w:r>
          </w:p>
        </w:tc>
        <w:tc>
          <w:tcPr>
            <w:tcW w:w="797" w:type="dxa"/>
            <w:tcBorders>
              <w:top w:val="outset" w:color="auto" w:sz="6" w:space="0"/>
              <w:left w:val="outset" w:color="auto" w:sz="6" w:space="0"/>
              <w:bottom w:val="outset" w:color="auto" w:sz="6" w:space="0"/>
              <w:right w:val="outset" w:color="auto" w:sz="6" w:space="0"/>
            </w:tcBorders>
            <w:vAlign w:val="center"/>
          </w:tcPr>
          <w:p w14:paraId="3EB95A4A">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531" w:type="dxa"/>
            <w:tcBorders>
              <w:top w:val="outset" w:color="auto" w:sz="6" w:space="0"/>
              <w:left w:val="outset" w:color="auto" w:sz="6" w:space="0"/>
              <w:bottom w:val="outset" w:color="auto" w:sz="6" w:space="0"/>
              <w:right w:val="outset" w:color="auto" w:sz="6" w:space="0"/>
            </w:tcBorders>
            <w:vAlign w:val="center"/>
          </w:tcPr>
          <w:p w14:paraId="7E8D4B5E">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726" w:type="dxa"/>
            <w:tcBorders>
              <w:top w:val="outset" w:color="auto" w:sz="6" w:space="0"/>
              <w:left w:val="outset" w:color="auto" w:sz="6" w:space="0"/>
              <w:bottom w:val="outset" w:color="auto" w:sz="6" w:space="0"/>
              <w:right w:val="outset" w:color="auto" w:sz="6" w:space="0"/>
            </w:tcBorders>
            <w:vAlign w:val="center"/>
          </w:tcPr>
          <w:p w14:paraId="53AEE00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519" w:type="dxa"/>
            <w:tcBorders>
              <w:top w:val="outset" w:color="auto" w:sz="6" w:space="0"/>
              <w:left w:val="outset" w:color="auto" w:sz="6" w:space="0"/>
              <w:bottom w:val="outset" w:color="auto" w:sz="6" w:space="0"/>
              <w:right w:val="outset" w:color="auto" w:sz="6" w:space="0"/>
            </w:tcBorders>
            <w:vAlign w:val="center"/>
          </w:tcPr>
          <w:p w14:paraId="610DC31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783" w:type="dxa"/>
            <w:tcBorders>
              <w:top w:val="outset" w:color="auto" w:sz="6" w:space="0"/>
              <w:left w:val="outset" w:color="auto" w:sz="6" w:space="0"/>
              <w:bottom w:val="outset" w:color="auto" w:sz="6" w:space="0"/>
              <w:right w:val="outset" w:color="auto" w:sz="6" w:space="0"/>
            </w:tcBorders>
            <w:vAlign w:val="center"/>
          </w:tcPr>
          <w:p w14:paraId="054C6970">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≤10/5min</w:t>
            </w:r>
          </w:p>
        </w:tc>
        <w:tc>
          <w:tcPr>
            <w:tcW w:w="670" w:type="dxa"/>
            <w:tcBorders>
              <w:top w:val="outset" w:color="auto" w:sz="6" w:space="0"/>
              <w:left w:val="outset" w:color="auto" w:sz="6" w:space="0"/>
              <w:bottom w:val="outset" w:color="auto" w:sz="6" w:space="0"/>
              <w:right w:val="outset" w:color="auto" w:sz="6" w:space="0"/>
            </w:tcBorders>
            <w:vAlign w:val="center"/>
          </w:tcPr>
          <w:p w14:paraId="6D7EBBD3">
            <w:pPr>
              <w:spacing w:after="0" w:line="360" w:lineRule="auto"/>
              <w:ind w:firstLine="0"/>
              <w:jc w:val="center"/>
              <w:rPr>
                <w:rFonts w:hint="eastAsia" w:ascii="宋体" w:hAnsi="宋体" w:eastAsia="宋体" w:cs="宋体"/>
                <w:color w:val="000000"/>
                <w:kern w:val="2"/>
                <w:sz w:val="24"/>
                <w:szCs w:val="24"/>
                <w:lang w:eastAsia="zh-CN" w:bidi="ar-SA"/>
              </w:rPr>
            </w:pPr>
          </w:p>
        </w:tc>
        <w:tc>
          <w:tcPr>
            <w:tcW w:w="643" w:type="dxa"/>
            <w:tcBorders>
              <w:top w:val="outset" w:color="auto" w:sz="6" w:space="0"/>
              <w:left w:val="outset" w:color="auto" w:sz="6" w:space="0"/>
              <w:bottom w:val="outset" w:color="auto" w:sz="6" w:space="0"/>
              <w:right w:val="outset" w:color="auto" w:sz="6" w:space="0"/>
            </w:tcBorders>
            <w:vAlign w:val="center"/>
          </w:tcPr>
          <w:p w14:paraId="07F1AB6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w:t>
            </w:r>
          </w:p>
        </w:tc>
        <w:tc>
          <w:tcPr>
            <w:tcW w:w="602" w:type="dxa"/>
            <w:vMerge w:val="continue"/>
            <w:tcBorders>
              <w:top w:val="outset" w:color="auto" w:sz="6" w:space="0"/>
              <w:left w:val="outset" w:color="auto" w:sz="6" w:space="0"/>
              <w:bottom w:val="outset" w:color="auto" w:sz="6" w:space="0"/>
              <w:right w:val="outset" w:color="auto" w:sz="6" w:space="0"/>
            </w:tcBorders>
            <w:vAlign w:val="center"/>
          </w:tcPr>
          <w:p w14:paraId="07BF671B">
            <w:pPr>
              <w:spacing w:after="0" w:line="360" w:lineRule="auto"/>
              <w:ind w:firstLine="0"/>
              <w:jc w:val="center"/>
              <w:rPr>
                <w:rFonts w:hint="eastAsia" w:ascii="宋体" w:hAnsi="宋体" w:eastAsia="宋体" w:cs="宋体"/>
                <w:color w:val="000000"/>
                <w:kern w:val="2"/>
                <w:sz w:val="24"/>
                <w:szCs w:val="24"/>
                <w:lang w:eastAsia="zh-CN" w:bidi="ar-SA"/>
              </w:rPr>
            </w:pPr>
          </w:p>
        </w:tc>
        <w:tc>
          <w:tcPr>
            <w:tcW w:w="629" w:type="dxa"/>
            <w:tcBorders>
              <w:top w:val="outset" w:color="auto" w:sz="6" w:space="0"/>
              <w:left w:val="outset" w:color="auto" w:sz="6" w:space="0"/>
              <w:bottom w:val="outset" w:color="auto" w:sz="6" w:space="0"/>
              <w:right w:val="outset" w:color="auto" w:sz="6" w:space="0"/>
            </w:tcBorders>
            <w:vAlign w:val="center"/>
          </w:tcPr>
          <w:p w14:paraId="539B8F2F">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≤10</w:t>
            </w:r>
          </w:p>
        </w:tc>
        <w:tc>
          <w:tcPr>
            <w:tcW w:w="560" w:type="dxa"/>
            <w:vMerge w:val="continue"/>
            <w:tcBorders>
              <w:top w:val="outset" w:color="auto" w:sz="6" w:space="0"/>
              <w:left w:val="outset" w:color="auto" w:sz="6" w:space="0"/>
              <w:bottom w:val="outset" w:color="auto" w:sz="6" w:space="0"/>
              <w:right w:val="outset" w:color="auto" w:sz="6" w:space="0"/>
            </w:tcBorders>
            <w:vAlign w:val="center"/>
          </w:tcPr>
          <w:p w14:paraId="743B6C59">
            <w:pPr>
              <w:spacing w:after="0" w:line="360" w:lineRule="auto"/>
              <w:ind w:firstLine="0"/>
              <w:jc w:val="center"/>
              <w:rPr>
                <w:rFonts w:hint="eastAsia" w:ascii="宋体" w:hAnsi="宋体" w:eastAsia="宋体" w:cs="宋体"/>
                <w:color w:val="000000"/>
                <w:kern w:val="2"/>
                <w:sz w:val="24"/>
                <w:szCs w:val="24"/>
                <w:lang w:eastAsia="zh-CN" w:bidi="ar-SA"/>
              </w:rPr>
            </w:pPr>
          </w:p>
        </w:tc>
        <w:tc>
          <w:tcPr>
            <w:tcW w:w="491" w:type="dxa"/>
            <w:tcBorders>
              <w:top w:val="outset" w:color="auto" w:sz="6" w:space="0"/>
              <w:left w:val="outset" w:color="auto" w:sz="6" w:space="0"/>
              <w:bottom w:val="outset" w:color="auto" w:sz="6" w:space="0"/>
              <w:right w:val="outset" w:color="auto" w:sz="6" w:space="0"/>
            </w:tcBorders>
            <w:vAlign w:val="center"/>
          </w:tcPr>
          <w:p w14:paraId="28DD1CCD">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c>
          <w:tcPr>
            <w:tcW w:w="879" w:type="dxa"/>
            <w:tcBorders>
              <w:top w:val="outset" w:color="auto" w:sz="6" w:space="0"/>
              <w:left w:val="outset" w:color="auto" w:sz="6" w:space="0"/>
              <w:bottom w:val="outset" w:color="auto" w:sz="6" w:space="0"/>
              <w:right w:val="outset" w:color="auto" w:sz="6" w:space="0"/>
            </w:tcBorders>
            <w:vAlign w:val="center"/>
          </w:tcPr>
          <w:p w14:paraId="058CDABC">
            <w:pPr>
              <w:spacing w:after="0" w:line="360" w:lineRule="auto"/>
              <w:ind w:firstLine="0"/>
              <w:jc w:val="center"/>
              <w:rPr>
                <w:rFonts w:hint="eastAsia" w:ascii="宋体" w:hAnsi="宋体" w:eastAsia="宋体" w:cs="宋体"/>
                <w:color w:val="000000"/>
                <w:kern w:val="2"/>
                <w:sz w:val="24"/>
                <w:szCs w:val="24"/>
                <w:lang w:eastAsia="zh-CN" w:bidi="ar-SA"/>
              </w:rPr>
            </w:pPr>
            <w:r>
              <w:rPr>
                <w:rFonts w:hint="eastAsia" w:ascii="宋体" w:hAnsi="宋体" w:eastAsia="宋体" w:cs="宋体"/>
                <w:color w:val="000000"/>
                <w:kern w:val="2"/>
                <w:sz w:val="24"/>
                <w:szCs w:val="24"/>
                <w:lang w:eastAsia="zh-CN" w:bidi="ar-SA"/>
              </w:rPr>
              <w:t>/</w:t>
            </w:r>
          </w:p>
        </w:tc>
      </w:tr>
    </w:tbl>
    <w:p w14:paraId="0733AFB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kern w:val="0"/>
          <w:sz w:val="24"/>
          <w:szCs w:val="24"/>
        </w:rPr>
      </w:pPr>
      <w:r>
        <w:rPr>
          <w:rFonts w:hint="eastAsia" w:ascii="宋体" w:hAnsi="宋体" w:eastAsia="宋体" w:cs="宋体"/>
          <w:b/>
          <w:bCs w:val="0"/>
          <w:kern w:val="0"/>
          <w:sz w:val="24"/>
          <w:szCs w:val="24"/>
        </w:rPr>
        <w:t>注</w:t>
      </w:r>
      <w:r>
        <w:rPr>
          <w:rFonts w:hint="eastAsia" w:ascii="宋体" w:hAnsi="宋体" w:eastAsia="宋体" w:cs="宋体"/>
          <w:b w:val="0"/>
          <w:bCs/>
          <w:kern w:val="0"/>
          <w:sz w:val="24"/>
          <w:szCs w:val="24"/>
        </w:rPr>
        <w:t>：静态含尘浓度和沉降菌浓度以综合性能评定的测定数据或年检数据为准。消毒后的染菌密度以每次消毒后的检测数据为准。</w:t>
      </w:r>
    </w:p>
    <w:p w14:paraId="231EC25B">
      <w:pPr>
        <w:ind w:left="0" w:leftChars="0" w:firstLine="0" w:firstLineChars="0"/>
        <w:rPr>
          <w:rFonts w:hint="eastAsia" w:ascii="宋体" w:hAnsi="宋体" w:eastAsia="宋体" w:cs="宋体"/>
          <w:b/>
          <w:bCs w:val="0"/>
          <w:kern w:val="0"/>
          <w:sz w:val="24"/>
          <w:szCs w:val="24"/>
        </w:rPr>
      </w:pPr>
      <w:r>
        <w:rPr>
          <w:rFonts w:hint="eastAsia" w:ascii="宋体" w:hAnsi="宋体" w:eastAsia="宋体" w:cs="宋体"/>
          <w:b/>
          <w:bCs w:val="0"/>
          <w:kern w:val="0"/>
          <w:sz w:val="24"/>
          <w:szCs w:val="24"/>
        </w:rPr>
        <w:t>（</w:t>
      </w:r>
      <w:r>
        <w:rPr>
          <w:rFonts w:hint="eastAsia" w:ascii="宋体" w:hAnsi="宋体" w:eastAsia="宋体" w:cs="宋体"/>
          <w:b/>
          <w:bCs w:val="0"/>
          <w:kern w:val="0"/>
          <w:sz w:val="24"/>
          <w:szCs w:val="24"/>
          <w:lang w:val="en-US" w:eastAsia="zh-CN"/>
        </w:rPr>
        <w:t>3</w:t>
      </w:r>
      <w:r>
        <w:rPr>
          <w:rFonts w:hint="eastAsia" w:ascii="宋体" w:hAnsi="宋体" w:eastAsia="宋体" w:cs="宋体"/>
          <w:b/>
          <w:bCs w:val="0"/>
          <w:kern w:val="0"/>
          <w:sz w:val="24"/>
          <w:szCs w:val="24"/>
        </w:rPr>
        <w:t>）空气过滤器更换周期</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72"/>
        <w:gridCol w:w="3916"/>
        <w:gridCol w:w="2823"/>
      </w:tblGrid>
      <w:tr w14:paraId="264277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6BCCED3">
            <w:pPr>
              <w:ind w:left="0" w:lef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类   别</w:t>
            </w:r>
          </w:p>
        </w:tc>
        <w:tc>
          <w:tcPr>
            <w:tcW w:w="44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A4781FC">
            <w:pPr>
              <w:ind w:left="0" w:lef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检查内容</w:t>
            </w:r>
          </w:p>
        </w:tc>
        <w:tc>
          <w:tcPr>
            <w:tcW w:w="32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0D65910">
            <w:pPr>
              <w:ind w:left="0" w:lef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更换周期</w:t>
            </w:r>
          </w:p>
        </w:tc>
      </w:tr>
      <w:tr w14:paraId="1DAB29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81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60B0B2E">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新风入口过滤网</w:t>
            </w:r>
          </w:p>
        </w:tc>
        <w:tc>
          <w:tcPr>
            <w:tcW w:w="448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5C43B97">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网眼是否一半以上已堵。</w:t>
            </w:r>
          </w:p>
        </w:tc>
        <w:tc>
          <w:tcPr>
            <w:tcW w:w="325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B31D3FF">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1月1次。</w:t>
            </w:r>
          </w:p>
        </w:tc>
      </w:tr>
      <w:tr w14:paraId="6510EB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181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98595E9">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初效过滤器</w:t>
            </w:r>
          </w:p>
        </w:tc>
        <w:tc>
          <w:tcPr>
            <w:tcW w:w="448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89ADBA0">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阻力已超过额定初阻力60Pa，或等于2×设计或运行初阻力。</w:t>
            </w:r>
          </w:p>
        </w:tc>
        <w:tc>
          <w:tcPr>
            <w:tcW w:w="325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97D8012">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1-3个月，超过标准随时更换。</w:t>
            </w:r>
          </w:p>
        </w:tc>
      </w:tr>
      <w:tr w14:paraId="2E517D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181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B3C0291">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中效过滤器</w:t>
            </w:r>
          </w:p>
        </w:tc>
        <w:tc>
          <w:tcPr>
            <w:tcW w:w="448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20D88CD">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阻力已超过额定初阻力80Pa，或等于2×设计或运行初阻力。</w:t>
            </w:r>
          </w:p>
        </w:tc>
        <w:tc>
          <w:tcPr>
            <w:tcW w:w="325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E593BA1">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3-6个月，超过标准随时更换。</w:t>
            </w:r>
          </w:p>
        </w:tc>
      </w:tr>
      <w:tr w14:paraId="28F3BA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81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D08C831">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亚高效过滤器</w:t>
            </w:r>
          </w:p>
        </w:tc>
        <w:tc>
          <w:tcPr>
            <w:tcW w:w="448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73043C7">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阻力已超过额定初阻力100Pa，或等于2×设计或运行初阻力（低阻亚高效时为3倍）。</w:t>
            </w:r>
          </w:p>
        </w:tc>
        <w:tc>
          <w:tcPr>
            <w:tcW w:w="325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B93A0AF">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6-12个月，超过标准随时更换。</w:t>
            </w:r>
          </w:p>
        </w:tc>
      </w:tr>
      <w:tr w14:paraId="4ED691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181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7829FE5">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高效过滤器</w:t>
            </w:r>
          </w:p>
        </w:tc>
        <w:tc>
          <w:tcPr>
            <w:tcW w:w="448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1729FE4">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阻力已超过额定初阻力160Pa，或等于2×设计或运行初阻力。</w:t>
            </w:r>
          </w:p>
        </w:tc>
        <w:tc>
          <w:tcPr>
            <w:tcW w:w="325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FFDCF83">
            <w:pPr>
              <w:ind w:left="0" w:leftChars="0" w:firstLine="0" w:firstLineChars="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1-3年，超过标准随时更换。</w:t>
            </w:r>
          </w:p>
        </w:tc>
      </w:tr>
    </w:tbl>
    <w:p w14:paraId="056DDF67">
      <w:pPr>
        <w:ind w:left="0" w:leftChars="0" w:firstLine="0" w:firstLineChars="0"/>
        <w:rPr>
          <w:rFonts w:hint="eastAsia" w:ascii="宋体" w:hAnsi="宋体" w:eastAsia="宋体" w:cs="宋体"/>
          <w:b w:val="0"/>
          <w:bCs/>
          <w:kern w:val="0"/>
          <w:sz w:val="24"/>
          <w:szCs w:val="24"/>
        </w:rPr>
      </w:pPr>
    </w:p>
    <w:p w14:paraId="320AD71C">
      <w:pPr>
        <w:pStyle w:val="10"/>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sz w:val="24"/>
          <w:szCs w:val="24"/>
        </w:rPr>
      </w:pPr>
      <w:r>
        <w:rPr>
          <w:rFonts w:hint="eastAsia" w:ascii="宋体" w:hAnsi="宋体" w:eastAsia="宋体" w:cs="宋体"/>
          <w:b/>
          <w:color w:val="000000"/>
          <w:sz w:val="24"/>
          <w:szCs w:val="24"/>
          <w:lang w:eastAsia="zh-CN"/>
        </w:rPr>
        <w:t>（三）</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eastAsia="zh-CN"/>
        </w:rPr>
        <w:t>服务</w:t>
      </w:r>
      <w:r>
        <w:rPr>
          <w:rFonts w:hint="eastAsia" w:ascii="宋体" w:hAnsi="宋体" w:eastAsia="宋体" w:cs="宋体"/>
          <w:b/>
          <w:color w:val="000000"/>
          <w:sz w:val="24"/>
          <w:szCs w:val="24"/>
        </w:rPr>
        <w:t>要求</w:t>
      </w:r>
    </w:p>
    <w:p w14:paraId="7399A8C3">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outlineLvl w:val="1"/>
        <w:rPr>
          <w:rFonts w:hint="eastAsia" w:ascii="宋体" w:hAnsi="宋体" w:eastAsia="宋体" w:cs="宋体"/>
          <w:b w:val="0"/>
          <w:bCs/>
          <w:sz w:val="24"/>
          <w:szCs w:val="24"/>
        </w:rPr>
      </w:pPr>
      <w:r>
        <w:rPr>
          <w:rFonts w:hint="eastAsia" w:ascii="宋体" w:hAnsi="宋体" w:eastAsia="宋体" w:cs="宋体"/>
          <w:b w:val="0"/>
          <w:bCs/>
          <w:color w:val="000000"/>
          <w:sz w:val="24"/>
          <w:szCs w:val="24"/>
          <w:lang w:val="en-US" w:eastAsia="zh-CN"/>
        </w:rPr>
        <w:t>1、应</w:t>
      </w:r>
      <w:r>
        <w:rPr>
          <w:rFonts w:hint="eastAsia" w:ascii="宋体" w:hAnsi="宋体" w:eastAsia="宋体" w:cs="宋体"/>
          <w:b w:val="0"/>
          <w:bCs/>
          <w:color w:val="000000"/>
          <w:sz w:val="24"/>
          <w:szCs w:val="24"/>
        </w:rPr>
        <w:t>急排除</w:t>
      </w:r>
      <w:r>
        <w:rPr>
          <w:rFonts w:hint="eastAsia" w:ascii="宋体" w:hAnsi="宋体" w:eastAsia="宋体" w:cs="宋体"/>
          <w:b w:val="0"/>
          <w:bCs/>
          <w:color w:val="000000"/>
          <w:sz w:val="24"/>
          <w:szCs w:val="24"/>
          <w:lang w:eastAsia="zh-CN"/>
        </w:rPr>
        <w:t>设备</w:t>
      </w:r>
      <w:r>
        <w:rPr>
          <w:rFonts w:hint="eastAsia" w:ascii="宋体" w:hAnsi="宋体" w:eastAsia="宋体" w:cs="宋体"/>
          <w:b w:val="0"/>
          <w:bCs/>
          <w:color w:val="000000"/>
          <w:sz w:val="24"/>
          <w:szCs w:val="24"/>
        </w:rPr>
        <w:t>故障：</w:t>
      </w:r>
    </w:p>
    <w:p w14:paraId="2DFF2B28">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（1）影响系统的大故障，要求维修人员立即排除故障，恢复系统正常运行；</w:t>
      </w:r>
    </w:p>
    <w:p w14:paraId="026E3F2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（2）特殊情况（如无备件、特殊元件等）不能及时修复时，应报请采购人同意并采取应急保障措施；</w:t>
      </w:r>
    </w:p>
    <w:p w14:paraId="7E230A6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（3）如因供应商原因不能及时修复时，应由供应商出具书面材料并经采购人同意后可推迟修复，一般应保证整个系统正常运行。</w:t>
      </w:r>
    </w:p>
    <w:p w14:paraId="4695B48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b w:val="0"/>
          <w:bCs/>
          <w:sz w:val="24"/>
          <w:szCs w:val="24"/>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中央空调定期检查和定期维保技术要求</w:t>
      </w:r>
    </w:p>
    <w:p w14:paraId="0DA6560B">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（1）中央空调冷水机组的维护保养：</w:t>
      </w:r>
    </w:p>
    <w:p w14:paraId="68560FE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中央空调日常维护保养内容</w:t>
      </w:r>
      <w:r>
        <w:rPr>
          <w:rFonts w:hint="eastAsia" w:ascii="宋体" w:hAnsi="宋体" w:eastAsia="宋体" w:cs="宋体"/>
          <w:color w:val="000000"/>
          <w:sz w:val="24"/>
          <w:szCs w:val="24"/>
          <w:lang w:eastAsia="zh-CN"/>
        </w:rPr>
        <w:t>如下</w:t>
      </w:r>
      <w:r>
        <w:rPr>
          <w:rFonts w:hint="eastAsia" w:ascii="宋体" w:hAnsi="宋体" w:eastAsia="宋体" w:cs="宋体"/>
          <w:color w:val="000000"/>
          <w:sz w:val="24"/>
          <w:szCs w:val="24"/>
        </w:rPr>
        <w:t>（制冷季内每月1次）：</w:t>
      </w:r>
    </w:p>
    <w:p w14:paraId="4BDF159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①查压缩机冷冻油的油压及油量，电压、电流、吸排气压力等、系统探漏（制冷剂），发现漏点及时处理；</w:t>
      </w:r>
    </w:p>
    <w:p w14:paraId="69EBA57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②检查有无不正常的声响、震动及高温；</w:t>
      </w:r>
    </w:p>
    <w:p w14:paraId="25E4FFE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③检查冷凝器及冷却器的温度、压力；</w:t>
      </w:r>
    </w:p>
    <w:p w14:paraId="72A60E5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④检查各种阀门是否正常；</w:t>
      </w:r>
    </w:p>
    <w:p w14:paraId="072B59B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⑤检查冷水机出入水的温度及压力；</w:t>
      </w:r>
    </w:p>
    <w:p w14:paraId="255D4C6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⑥检查主电路上接线端子并有无松动压实；</w:t>
      </w:r>
    </w:p>
    <w:p w14:paraId="79BAC86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⑦检查电气控制部分有无异常；检查各仪表、控制器的工作状态；</w:t>
      </w:r>
    </w:p>
    <w:p w14:paraId="3766559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⑧检查机组润滑系统机油是否充足；</w:t>
      </w:r>
    </w:p>
    <w:p w14:paraId="6F81035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⑨检查压缩机冷冻油的油压及油量，必要时进行冷冻油更换及补充压缩机机电绝缘情况；</w:t>
      </w:r>
    </w:p>
    <w:p w14:paraId="307623A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⑩检查并收紧电路上的各电线接点；</w:t>
      </w:r>
    </w:p>
    <w:p w14:paraId="100706A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⑪检查制冷系统内是否存在空气，如有则应排放空气；</w:t>
      </w:r>
    </w:p>
    <w:p w14:paraId="20F17B7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⑫检查设备运行记录，检查主机控制系统是否正常，有无异常报警信息；</w:t>
      </w:r>
    </w:p>
    <w:p w14:paraId="7814B3C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⑬根据规范要求和实际情况，其他必要的维护保养工作。</w:t>
      </w:r>
    </w:p>
    <w:p w14:paraId="405F9E22">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（2）中央空调制冷季前的维护保养准备工作：制冷季开始前，供应商应按照协议要求对设备进行一次全面检查测试：</w:t>
      </w:r>
    </w:p>
    <w:p w14:paraId="54B3F7F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①检查螺杆机、离心机组制冷剂是否有泄漏、制冷剂压力是否符合要求，检查螺杆机、离心机组润滑油、润滑脂是否符合标准。</w:t>
      </w:r>
    </w:p>
    <w:p w14:paraId="00EB609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②检查制冷机组各种运行参数。</w:t>
      </w:r>
    </w:p>
    <w:p w14:paraId="34AE948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检查冷冻水、冷却水水质是否符合要求，包括水质的ph值，硬度、浊度、碱度、电导率应符合要求，并对水质情况定期进行检测；在换季后，制冷设备开始运行前，应在冷冻水、冷却水排水口排掉冷冻水、冷却水，直到排水口没有杂质排出为止。</w:t>
      </w:r>
    </w:p>
    <w:p w14:paraId="2D3212B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④ 检测冷冻油、机油是否符合要求，如不符合要求，需及时全部更换原厂的冷冻油、机油，并负责将废弃的冷冻油、机油进行回收处理</w:t>
      </w:r>
      <w:r>
        <w:rPr>
          <w:rFonts w:hint="eastAsia" w:ascii="宋体" w:hAnsi="宋体" w:eastAsia="宋体" w:cs="宋体"/>
          <w:b w:val="0"/>
          <w:bCs/>
          <w:color w:val="000000"/>
          <w:sz w:val="24"/>
          <w:szCs w:val="24"/>
        </w:rPr>
        <w:t>（每年更换一次冷冻油）。</w:t>
      </w:r>
    </w:p>
    <w:p w14:paraId="354CDA1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冷冻水、冷却水在排出杂质完成后，对冷冻水、冷却水进行补水，直到冷冻水、冷却水水压达到规定压力，严禁在补水没有达到规定压力开启制冷机组、循环泵，补水时应注意观察管道、阀门及水泵是否有渗漏，如有应立即停止补水，并对设备进行维修。</w:t>
      </w:r>
    </w:p>
    <w:p w14:paraId="35B7EB6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⑥检查冷冻水水处理设备是否正常，检查冷冻水水质处理药剂是否准备充足。</w:t>
      </w:r>
    </w:p>
    <w:p w14:paraId="12BABFE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⑦检查冷却水水处理设备是否正常，检查冷却水水质处理药剂是否准备充足。</w:t>
      </w:r>
    </w:p>
    <w:p w14:paraId="0BBB7B4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⑧检查各转换阀门是否转换到制冷状态，检查各电磁阀是否工作正常，检查各水流开关是否工作正常，检查各传感器是否工作正常。</w:t>
      </w:r>
    </w:p>
    <w:p w14:paraId="3554ADC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⑨完成以上检查后，对螺杆机、离心机组进行一次试运行，观察各运行参数是否在正常范围内，冷冻水、冷却水循环是否正常，观察末端是否有制冷效果。</w:t>
      </w:r>
    </w:p>
    <w:p w14:paraId="1C3262E5">
      <w:pPr>
        <w:pStyle w:val="10"/>
        <w:keepNext w:val="0"/>
        <w:keepLines w:val="0"/>
        <w:pageBreakBefore w:val="0"/>
        <w:widowControl/>
        <w:kinsoku/>
        <w:wordWrap/>
        <w:overflowPunct/>
        <w:topLinePunct w:val="0"/>
        <w:autoSpaceDE/>
        <w:autoSpaceDN/>
        <w:bidi w:val="0"/>
        <w:adjustRightInd/>
        <w:snapToGrid/>
        <w:spacing w:line="360" w:lineRule="auto"/>
        <w:ind w:firstLine="241"/>
        <w:jc w:val="both"/>
        <w:textAlignment w:val="auto"/>
        <w:rPr>
          <w:rFonts w:hint="eastAsia" w:ascii="宋体" w:hAnsi="宋体" w:eastAsia="宋体" w:cs="宋体"/>
          <w:sz w:val="24"/>
          <w:szCs w:val="24"/>
        </w:rPr>
      </w:pPr>
      <w:r>
        <w:rPr>
          <w:rFonts w:hint="eastAsia" w:ascii="宋体" w:hAnsi="宋体" w:eastAsia="宋体" w:cs="宋体"/>
          <w:b/>
          <w:color w:val="000000"/>
          <w:sz w:val="24"/>
          <w:szCs w:val="24"/>
        </w:rPr>
        <w:t>（</w:t>
      </w:r>
      <w:r>
        <w:rPr>
          <w:rFonts w:hint="eastAsia" w:ascii="宋体" w:hAnsi="宋体" w:eastAsia="宋体" w:cs="宋体"/>
          <w:b w:val="0"/>
          <w:bCs/>
          <w:color w:val="000000"/>
          <w:sz w:val="24"/>
          <w:szCs w:val="24"/>
        </w:rPr>
        <w:t>3）中央空调末端盘管及新风柜的保养：</w:t>
      </w:r>
    </w:p>
    <w:p w14:paraId="36171BB5">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①清洗公共区域盘管回风滤网，每周巡查并每月清洗一次；病房内每月巡查、每季度清洗一次；</w:t>
      </w:r>
    </w:p>
    <w:p w14:paraId="6B8AA229">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②紧固所有固定螺丝；</w:t>
      </w:r>
    </w:p>
    <w:p w14:paraId="64345408">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③排水管路，并确认畅通；</w:t>
      </w:r>
    </w:p>
    <w:p w14:paraId="61A6A33F">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④检查室内温控及风机的三档风速；</w:t>
      </w:r>
    </w:p>
    <w:p w14:paraId="403FC174">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⑤检查运行噪音及振动情况</w:t>
      </w:r>
    </w:p>
    <w:p w14:paraId="48803DBC">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⑥清洗新风风柜回风滤网，每季度一次；</w:t>
      </w:r>
    </w:p>
    <w:p w14:paraId="0BA6D6A6">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⑦检查箱体的气密性及水路的密闭性；</w:t>
      </w:r>
    </w:p>
    <w:p w14:paraId="1171135A">
      <w:pPr>
        <w:pStyle w:val="10"/>
        <w:keepNext w:val="0"/>
        <w:keepLines w:val="0"/>
        <w:pageBreakBefore w:val="0"/>
        <w:widowControl/>
        <w:kinsoku/>
        <w:wordWrap/>
        <w:overflowPunct/>
        <w:topLinePunct w:val="0"/>
        <w:autoSpaceDE/>
        <w:autoSpaceDN/>
        <w:bidi w:val="0"/>
        <w:adjustRightInd/>
        <w:snapToGrid/>
        <w:spacing w:line="360" w:lineRule="auto"/>
        <w:ind w:left="6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⑧检查排水管路并确认畅通；</w:t>
      </w:r>
    </w:p>
    <w:p w14:paraId="64DD4095">
      <w:pPr>
        <w:pStyle w:val="10"/>
        <w:keepNext w:val="0"/>
        <w:keepLines w:val="0"/>
        <w:pageBreakBefore w:val="0"/>
        <w:widowControl/>
        <w:kinsoku/>
        <w:wordWrap/>
        <w:overflowPunct/>
        <w:topLinePunct w:val="0"/>
        <w:autoSpaceDE/>
        <w:autoSpaceDN/>
        <w:bidi w:val="0"/>
        <w:adjustRightInd/>
        <w:snapToGrid/>
        <w:spacing w:line="360" w:lineRule="auto"/>
        <w:ind w:left="24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⑨检查风机马达的电流和电压，确认符合要求范围；</w:t>
      </w:r>
    </w:p>
    <w:p w14:paraId="4EF60A0F">
      <w:pPr>
        <w:pStyle w:val="10"/>
        <w:keepNext w:val="0"/>
        <w:keepLines w:val="0"/>
        <w:pageBreakBefore w:val="0"/>
        <w:widowControl/>
        <w:kinsoku/>
        <w:wordWrap/>
        <w:overflowPunct/>
        <w:topLinePunct w:val="0"/>
        <w:autoSpaceDE/>
        <w:autoSpaceDN/>
        <w:bidi w:val="0"/>
        <w:adjustRightInd/>
        <w:snapToGrid/>
        <w:spacing w:line="360" w:lineRule="auto"/>
        <w:ind w:firstLine="241"/>
        <w:jc w:val="both"/>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（4）中央空调锅炉设备的维护保养：</w:t>
      </w:r>
    </w:p>
    <w:p w14:paraId="65F072D9">
      <w:pPr>
        <w:pStyle w:val="10"/>
        <w:keepNext w:val="0"/>
        <w:keepLines w:val="0"/>
        <w:pageBreakBefore w:val="0"/>
        <w:widowControl/>
        <w:kinsoku/>
        <w:wordWrap/>
        <w:overflowPunct/>
        <w:topLinePunct w:val="0"/>
        <w:autoSpaceDE/>
        <w:autoSpaceDN/>
        <w:bidi w:val="0"/>
        <w:adjustRightInd/>
        <w:snapToGrid/>
        <w:spacing w:line="360" w:lineRule="auto"/>
        <w:ind w:firstLine="24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日常维护保养内容（制热季内每月1次）：</w:t>
      </w:r>
    </w:p>
    <w:p w14:paraId="6FD6A6D2">
      <w:pPr>
        <w:pStyle w:val="10"/>
        <w:keepNext w:val="0"/>
        <w:keepLines w:val="0"/>
        <w:pageBreakBefore w:val="0"/>
        <w:widowControl/>
        <w:kinsoku/>
        <w:wordWrap/>
        <w:overflowPunct/>
        <w:topLinePunct w:val="0"/>
        <w:autoSpaceDE/>
        <w:autoSpaceDN/>
        <w:bidi w:val="0"/>
        <w:adjustRightInd/>
        <w:snapToGrid/>
        <w:spacing w:line="360" w:lineRule="auto"/>
        <w:ind w:firstLine="24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①检查设备运行记录。</w:t>
      </w:r>
    </w:p>
    <w:p w14:paraId="099AA1C3">
      <w:pPr>
        <w:pStyle w:val="10"/>
        <w:keepNext w:val="0"/>
        <w:keepLines w:val="0"/>
        <w:pageBreakBefore w:val="0"/>
        <w:widowControl/>
        <w:kinsoku/>
        <w:wordWrap/>
        <w:overflowPunct/>
        <w:topLinePunct w:val="0"/>
        <w:autoSpaceDE/>
        <w:autoSpaceDN/>
        <w:bidi w:val="0"/>
        <w:adjustRightInd/>
        <w:snapToGrid/>
        <w:spacing w:line="360" w:lineRule="auto"/>
        <w:ind w:firstLine="24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②检查主要设备（锅炉、水泵、风机）运行参数是否在预定范围内。</w:t>
      </w:r>
    </w:p>
    <w:p w14:paraId="34C49A1F">
      <w:pPr>
        <w:pStyle w:val="10"/>
        <w:keepNext w:val="0"/>
        <w:keepLines w:val="0"/>
        <w:pageBreakBefore w:val="0"/>
        <w:widowControl/>
        <w:kinsoku/>
        <w:wordWrap/>
        <w:overflowPunct/>
        <w:topLinePunct w:val="0"/>
        <w:autoSpaceDE/>
        <w:autoSpaceDN/>
        <w:bidi w:val="0"/>
        <w:adjustRightInd/>
        <w:snapToGrid/>
        <w:spacing w:line="360" w:lineRule="auto"/>
        <w:ind w:firstLine="24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③检查温度设置、设备运行电流、设备运行声音是否正常。</w:t>
      </w:r>
    </w:p>
    <w:p w14:paraId="076621AD">
      <w:pPr>
        <w:pStyle w:val="10"/>
        <w:keepNext w:val="0"/>
        <w:keepLines w:val="0"/>
        <w:pageBreakBefore w:val="0"/>
        <w:widowControl/>
        <w:kinsoku/>
        <w:wordWrap/>
        <w:overflowPunct/>
        <w:topLinePunct w:val="0"/>
        <w:autoSpaceDE/>
        <w:autoSpaceDN/>
        <w:bidi w:val="0"/>
        <w:adjustRightInd/>
        <w:snapToGrid/>
        <w:spacing w:line="360" w:lineRule="auto"/>
        <w:ind w:firstLine="24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④燃烧机的维护与保养，通常情况下燃烧机的以下部件应每月清洗1次:</w:t>
      </w:r>
    </w:p>
    <w:p w14:paraId="71C9C26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A.点火棒用干净教布轻轻擦去灰污。</w:t>
      </w:r>
    </w:p>
    <w:p w14:paraId="6508F40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B.电眼:用柔软洁净布擦去光电孔处灰污。</w:t>
      </w:r>
    </w:p>
    <w:p w14:paraId="3CF101A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C.喷嘴:拆开喷嘴用煤油或溶剂清洗。</w:t>
      </w:r>
    </w:p>
    <w:p w14:paraId="6EA001B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D.滤清器:拆开滤清器用煤油清洗。</w:t>
      </w:r>
    </w:p>
    <w:p w14:paraId="63CB7BD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E.稳焰器:用干净软布轻轻擦去灰污。</w:t>
      </w:r>
    </w:p>
    <w:p w14:paraId="0529BFC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F.油泵过滤器:取出泵内过滤器用煤油清洗。</w:t>
      </w:r>
    </w:p>
    <w:p w14:paraId="44B11A0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G.根据选用的燃料品种质量或牌号,调节燃烧机风门,改变空气量 调节到烟窗无烟状。如有黑烟,说明供气不足,应调大风门；如有白烟 或火焰不稳,说明供气过大,应调小风门。</w:t>
      </w:r>
    </w:p>
    <w:p w14:paraId="61A3DE8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⑤机组维护与保养。</w:t>
      </w:r>
    </w:p>
    <w:p w14:paraId="6E80374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A.用螺钉旋具拆开机组前后端面板(注:以燃烧机所在端为前端, 对应端为后端),再拆开前、后烟室的盖板,然后将清灰刷伸进烟管内依 次反复清刷每一根烟管,再将管板及烟室的烟污彻底清除干净.装烟室 盖板时应注意密封严实,压螺帽时要受力均匀,避免烟室泄漏。</w:t>
      </w:r>
    </w:p>
    <w:p w14:paraId="5C65B82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B.仪器仪表要定期检修,一般1年1次,或按仪表说明书的要求检修。</w:t>
      </w:r>
    </w:p>
    <w:p w14:paraId="3CD1B78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C.各种阀门、管接头、法兰垫圈泄漏要及时检修。</w:t>
      </w:r>
    </w:p>
    <w:p w14:paraId="01BD4FB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D.常压(间接式)机组投入运行前应洗炉,其步骤是:启开进水阀, 关闭排水闻,使炉内充满水；再关闭进水阔,启开排水阔将炉内杂质排出,如发现锈水应反复上水冲洗或者煮炉直至合格。</w:t>
      </w:r>
    </w:p>
    <w:p w14:paraId="38C7E9B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E.燃烧机安全地紧固在机组的指定位置上。 a、检查电源,电压是否与燃烧机,水泵,油泵铭版要求相符。b、检查接线是否正确牢靠。c、检查电控装置以及保险装置是否良好。 d、全面检查所有用电设备是否可靠接地。e、检查水源水质是否符合使用要求(炉内热媒水要求使用软化水)。r、气体燃料应检查质量,流量,压力是否能达到气体燃烧的使用要求。h、检查仪器仪表,阀门的开关位置是否正确；i、检查燃烧机、油泵、水泵等设备的运转方向以及密封填料的检紧是否达到使要求,并及时排除管道以及泵体内的空气。j、油箱注入油前应清干净,燃烧机进出管道(或燃气管)必须完全密封,避免空气异物的进入。k、以气体为燃料应检查调压,监控检测报警装置等仪器是否反应灵敏。l、检查机组烟囱高度以及排烟口方向是否达到设计要求(注:设有烟道风门的机组还应检查风门位置 是否处于正常状况)。</w:t>
      </w:r>
    </w:p>
    <w:p w14:paraId="6F9DBDA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F.向炉内充软化水至机组水位计正常水位线处,再关闭进水阀。</w:t>
      </w:r>
    </w:p>
    <w:p w14:paraId="7265ED9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G.开启机组换热器进水阀门让用户系统水进入换热器内及时排除空气,检查管道、接头、阀门是否泄漏,确认一切准备工作就绪,征得机 组主管人员的同意后,再开机点火投入试运行。</w:t>
      </w:r>
    </w:p>
    <w:p w14:paraId="37471D8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H.电控操作:常压(间接式)热水机组配有专门的电控柜或箱,对机组设置了压力控制和温度控制的双重保护,对机组燃烧机的控制，运行前应对电控箱内设备及保护装置进行检测与保养。</w:t>
      </w:r>
    </w:p>
    <w:p w14:paraId="78DC04A6">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（5）锅炉制热季前的维护保养准备工作：制热季开始前，供应商应按照协议要求对设备进行1次全面检查测试：</w:t>
      </w:r>
    </w:p>
    <w:p w14:paraId="38CEB83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①检查燃气是否有泄漏、燃气压力是否符合要求，润滑是否符合标准。</w:t>
      </w:r>
    </w:p>
    <w:p w14:paraId="3EC28C6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②检查锅炉各种运行参数，检查燃烧器工作是否正常。</w:t>
      </w:r>
    </w:p>
    <w:p w14:paraId="1513B1C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③检查锅炉一次水水位是否符合要求，如有必要需补充一次水水量，且必须使用蒸馏水进行补充。</w:t>
      </w:r>
    </w:p>
    <w:p w14:paraId="6C60FD8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④检查二次热水水质是否符合要求，在换季后，制热设备开始运行前，应在热水排水口排掉部分循环水，直到排水口没有杂质排出为止。</w:t>
      </w:r>
    </w:p>
    <w:p w14:paraId="576380C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循环水在排出杂质完成后，必须对循环水进行补水，直到循环水水压达到规定压力，严禁在循环水压力没有达到规定压力开启制热机组，补水时应注意观察管道、阀门及水泵是否有渗漏，如有应立即停止补水，并对设备进行维修。</w:t>
      </w:r>
    </w:p>
    <w:p w14:paraId="71681CB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⑥检查热水循环系统是否正常，检查各管道、阀门是否有渗漏，压力表指示压力是否正常，温度表是否显示准确，各区域流量是否在正常范围内。</w:t>
      </w:r>
    </w:p>
    <w:p w14:paraId="168584B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⑦检查各转换阀门是否转换到制热状态，检查各电磁阀是否工作正常，检查各水流开关是否工作正常，检查各传感器是否工作正常。</w:t>
      </w:r>
    </w:p>
    <w:p w14:paraId="365AE04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⑧检查板换表面是否清洁，有无渗漏。</w:t>
      </w:r>
    </w:p>
    <w:p w14:paraId="08A0DBF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⑨检查膨胀水箱是否正常。</w:t>
      </w:r>
    </w:p>
    <w:p w14:paraId="5EF7494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⑩完成以上检查后，对锅炉进行1次试运行，观察各运行参数是否在正常范围内，热水循环是否正常，观察末端是否有制热效果。</w:t>
      </w:r>
    </w:p>
    <w:p w14:paraId="71377FA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⑪根据规范要求和实际情况，其他必要的维护保养工作。</w:t>
      </w:r>
    </w:p>
    <w:p w14:paraId="241EB4F4">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（6）中央空调冷凝器蒸发器维修保养（每年1次）。</w:t>
      </w:r>
    </w:p>
    <w:p w14:paraId="54DCF1B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①配制10%的盐酸溶液(每1kg酸溶液里加0.5g缓蚀剂),同时，供应商保养所用耗材需向采购人提供产品合格证明进行备案。</w:t>
      </w:r>
    </w:p>
    <w:p w14:paraId="0536136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②拆开冷凝器、蒸发器两端进出水法兰封闭，然后向里注满酸溶液，酸洗时间约24小时。也可用酸泵循环清洗，清洗时间约12小时；后再用清水冲洗3次以上。</w:t>
      </w:r>
    </w:p>
    <w:p w14:paraId="0C2C97E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③全部清洗完毕后，检查是否漏水，如漏水则申请外委维修；如不漏水则重新装好(如法兰盘的密封胶垫已老化则应更换)。</w:t>
      </w:r>
    </w:p>
    <w:p w14:paraId="1FDC970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④根据规范要求和实际情况，其他必要的维护保养工作。</w:t>
      </w:r>
    </w:p>
    <w:p w14:paraId="295CFBF3">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（7）中央空调压缩机维护保养（每年1次）。</w:t>
      </w:r>
    </w:p>
    <w:p w14:paraId="6305A63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①压缩机电机绝缘电阻(正常0.5MΩ以上)。</w:t>
      </w:r>
    </w:p>
    <w:p w14:paraId="7FC80EB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②压缩机运行电流(正常为额定值，三相基本平衡)。</w:t>
      </w:r>
    </w:p>
    <w:p w14:paraId="0C7142A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③压缩机油压(正常10～15kgf/Cm2)。</w:t>
      </w:r>
    </w:p>
    <w:p w14:paraId="76CFFF9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④压缩机外壳温度(正常85℃以下)。</w:t>
      </w:r>
    </w:p>
    <w:p w14:paraId="2C26C81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⑤吸气压力(正常值4.9～5.4kgf/cm2)。</w:t>
      </w:r>
    </w:p>
    <w:p w14:paraId="32A87F1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⑥排气压力(正常值12.5kgf/cm2)。</w:t>
      </w:r>
    </w:p>
    <w:p w14:paraId="7CDCE51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⑦检查压缩机是否有异常的噪音或振动。</w:t>
      </w:r>
    </w:p>
    <w:p w14:paraId="549A02C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⑧检查压缩机是否有异常的气味。通过上述检查综合判断压缩机是否有故障，如有则应更换压缩机。</w:t>
      </w:r>
    </w:p>
    <w:p w14:paraId="7F5ED9C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⑨检查压缩机油位、油色。如油位低于观察镜的1/2位置，则应查明漏油原因并排除故障后再充注润滑油；如油已变色则应彻底更换润滑油。</w:t>
      </w:r>
    </w:p>
    <w:p w14:paraId="0889EBE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⑩根据规范要求和实际情况，其他必要的维护保养工作。</w:t>
      </w:r>
    </w:p>
    <w:p w14:paraId="6A14CE8B">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（8）中央空调水循环管道的维护保养（每年2次）。</w:t>
      </w:r>
    </w:p>
    <w:p w14:paraId="2B929FD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①水泵维护保养</w:t>
      </w:r>
    </w:p>
    <w:p w14:paraId="28D2F83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A.转动水泵轴，观察是否有阻滞、碰撞、卡住现象，如是轴承问题则对轴承加注润滑油或更换轴承；如是水泵叶轮问题则应拆修水泵；</w:t>
      </w:r>
    </w:p>
    <w:p w14:paraId="28F8D7A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B.检查压盘根处是否漏水成线，如是则应加压盘根。</w:t>
      </w:r>
    </w:p>
    <w:p w14:paraId="0C9B8E5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②节止阀与调节阀的维护保养。</w:t>
      </w:r>
    </w:p>
    <w:p w14:paraId="491274C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A.检查是否泄漏，如是则应加压填料。</w:t>
      </w:r>
    </w:p>
    <w:p w14:paraId="5399D56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B.检查阀门开闭是否灵活，如阻力较大则应对阀杆加注润滑油。</w:t>
      </w:r>
    </w:p>
    <w:p w14:paraId="09CCE35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C.如阀门破裂或开闭失效，则应更换同规格阀门。</w:t>
      </w:r>
    </w:p>
    <w:p w14:paraId="1328109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D.检查法兰连结处是否渗漏，如是则应拆换密封胶垫。</w:t>
      </w:r>
    </w:p>
    <w:p w14:paraId="5F18963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③循环水系统检查及保养。</w:t>
      </w:r>
    </w:p>
    <w:p w14:paraId="7F9F5C4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A.检查弹性联轴器有无损坏，如损坏则应更换弹性橡胶垫。</w:t>
      </w:r>
    </w:p>
    <w:p w14:paraId="34CC373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B.清洗水泵过滤网。</w:t>
      </w:r>
    </w:p>
    <w:p w14:paraId="7563246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C.拧紧水泵机组所有紧固螺栓。</w:t>
      </w:r>
    </w:p>
    <w:p w14:paraId="2B1F6E8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D.清洗水泵机组外壳，如脱漆或锈蚀严重，则应重新油漆一遍。</w:t>
      </w:r>
    </w:p>
    <w:p w14:paraId="07C4E22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E.检查冷冻水管路、送冷风管路、风机盘管路处是否有大量的凝结水或保温层已破损，如是则应维修或更换保温层。</w:t>
      </w:r>
    </w:p>
    <w:p w14:paraId="54A2C74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④电动机维修保养</w:t>
      </w:r>
    </w:p>
    <w:p w14:paraId="19FAEEC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A.用500Ｖ摇表检测电动机线圈绝缘电阻是否在0.5MΩ,以上，否则应进行干燥处理或修复。</w:t>
      </w:r>
    </w:p>
    <w:p w14:paraId="2DF1FC5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B.检查电动机轴承有无阻滞现象，如有则应加润滑油，如加润滑油后仍不行则应更换同型号规格的轴承。</w:t>
      </w:r>
    </w:p>
    <w:p w14:paraId="49A538F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C.检查电动机风叶有无擦壳现象，如有则应修整处理。</w:t>
      </w:r>
    </w:p>
    <w:p w14:paraId="700C3C4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D.根据规范要求和实际情况，其他必要的维护保养工作。</w:t>
      </w:r>
    </w:p>
    <w:p w14:paraId="150B03D8">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（9）中央空调冷却塔的维护保养（每年1次）</w:t>
      </w:r>
    </w:p>
    <w:p w14:paraId="034D3B1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①中央空调电机部分维护保养。</w:t>
      </w:r>
    </w:p>
    <w:p w14:paraId="6D007E3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A.用500Ｖ摇表检测电机绝缘电阻应不低于0.5MΩ,否则应干燥处理电机线圈，干燥处理后仍达不到0.5MΩ以上时则应拆修电机线圈。</w:t>
      </w:r>
    </w:p>
    <w:p w14:paraId="08F7734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B.检查电机、风扇是否转动灵活，如有阻滞现象则应加注润滑油；如有异常磨擦声则应更换同型号规格的轴承。</w:t>
      </w:r>
    </w:p>
    <w:p w14:paraId="0987642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C.检查皮带是否开裂或磨损严重，如是则应更换同规格皮带。</w:t>
      </w:r>
    </w:p>
    <w:p w14:paraId="4AE55EE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D.检查皮带是否太松，如是则应调整检；检查皮带轮与轴配合是否松动，如是则应整修。</w:t>
      </w:r>
    </w:p>
    <w:p w14:paraId="0ABB3C2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②中央空调冷却塔部分整体检查。</w:t>
      </w:r>
    </w:p>
    <w:p w14:paraId="0678E5B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A.检查布水器是否布水均匀，否则应清洁管道及喷嘴。</w:t>
      </w:r>
    </w:p>
    <w:p w14:paraId="17F793E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B.清洗冷却塔(包括填料、集水槽)，清洁风扇风叶。</w:t>
      </w:r>
    </w:p>
    <w:p w14:paraId="4D48B3F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C.检查补水浮球阀是否动作可靠，否则应修复。</w:t>
      </w:r>
    </w:p>
    <w:p w14:paraId="55C2EA6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D.拧紧所有紧固件。</w:t>
      </w:r>
    </w:p>
    <w:p w14:paraId="35B3D60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E.清洁整个冷却塔外表。</w:t>
      </w:r>
    </w:p>
    <w:p w14:paraId="1B4CE86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③根据规范要求和实际情况，其他必要的维护保养工作。</w:t>
      </w:r>
    </w:p>
    <w:p w14:paraId="72E5DADA">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（10）中央空调末端风柜</w:t>
      </w:r>
      <w:r>
        <w:rPr>
          <w:rFonts w:hint="eastAsia" w:ascii="宋体" w:hAnsi="宋体" w:eastAsia="宋体" w:cs="宋体"/>
          <w:b w:val="0"/>
          <w:bCs/>
          <w:color w:val="000000"/>
          <w:sz w:val="24"/>
          <w:szCs w:val="24"/>
          <w:lang w:eastAsia="zh-CN"/>
        </w:rPr>
        <w:t>和风机盘管</w:t>
      </w:r>
      <w:r>
        <w:rPr>
          <w:rFonts w:hint="eastAsia" w:ascii="宋体" w:hAnsi="宋体" w:eastAsia="宋体" w:cs="宋体"/>
          <w:b w:val="0"/>
          <w:bCs/>
          <w:color w:val="000000"/>
          <w:sz w:val="24"/>
          <w:szCs w:val="24"/>
        </w:rPr>
        <w:t>的维护保养（每月1次）</w:t>
      </w:r>
    </w:p>
    <w:p w14:paraId="2428E52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A.清洁风机盘管外壳、冷凝水盘及畅通冷凝水管。</w:t>
      </w:r>
    </w:p>
    <w:p w14:paraId="7E7EE28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清洗进回风初中效空气过滤网，排除盘管内的空气。每月最少1次对公共区域盘管风机出风口、回风口、回风滤网、新风口滤网清洗1次，每月最少1次对空调风柜、新风风柜滤网进行清洗，每满6个月更换一次滤网。</w:t>
      </w:r>
    </w:p>
    <w:p w14:paraId="66A1FEF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C.检查风机是否转动灵活、皮带松紧度。如有阻滞现象或皮带过松，则应加注润滑油和调整电机距离。如有异常摩擦响声则应更换风机轴承。</w:t>
      </w:r>
    </w:p>
    <w:p w14:paraId="2AA4546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D.用500V摇表检测风机电机线圈，绝缘电阻应不低于0.5 MΩ,否则应整修处理。检查电容有无变形、鼓胀或开裂，如是则应更换同规格电容；检查各接线头是否牢固，是否有过热痕迹，如是则作相应整修。</w:t>
      </w:r>
    </w:p>
    <w:p w14:paraId="7F12619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E.清洁风机风叶、盘管、积水盘上的污物。</w:t>
      </w:r>
    </w:p>
    <w:p w14:paraId="07BB944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F.用盐酸溶液(内加缓蚀剂)清除盘管内壁的水垢拧紧所有紧固件。</w:t>
      </w:r>
    </w:p>
    <w:p w14:paraId="4059452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G.根据规范要求和实际情况，其他必要的维护保养工作。</w:t>
      </w:r>
    </w:p>
    <w:p w14:paraId="231A8FDC">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（11）中央空调所有控制柜的维护保养（每月1次）</w:t>
      </w:r>
    </w:p>
    <w:p w14:paraId="5E495F8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①交流接触器维护保养。</w:t>
      </w:r>
    </w:p>
    <w:p w14:paraId="3444563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A.清除灭弧罩内的碳化物和金属颗粒。</w:t>
      </w:r>
    </w:p>
    <w:p w14:paraId="1073CA3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B.清除触头表面及四周的污物(但不要修锉触头)，c)如触头烧蚀严重则应更换同规格交流接触器。</w:t>
      </w:r>
    </w:p>
    <w:p w14:paraId="1FCD8BC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C.清洁铁芯上的灰尘及脏物。</w:t>
      </w:r>
    </w:p>
    <w:p w14:paraId="271D21F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D.拧紧所有紧固螺栓。</w:t>
      </w:r>
    </w:p>
    <w:p w14:paraId="76B4629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②调热继电器维护保养。</w:t>
      </w:r>
    </w:p>
    <w:p w14:paraId="07FFAB3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A.检查热继电器的导线接头处有无过热或烧伤痕迹，如有则应整修处理，处理后达不到要求的应更换。</w:t>
      </w:r>
    </w:p>
    <w:p w14:paraId="265FC9A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B.检查热继电器上的绝缘盖板是否完整，如损坏则应更换。</w:t>
      </w:r>
    </w:p>
    <w:p w14:paraId="0D69622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③自动空气开关维护保养。</w:t>
      </w:r>
    </w:p>
    <w:p w14:paraId="1B17A10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A.用500V摇表测量绝缘电阻应不低于0.5MΩ，否则应烘干处理。</w:t>
      </w:r>
    </w:p>
    <w:p w14:paraId="44AC311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B.清除灭弧罩内的碳化物或金属颗粒，如灭弧罩损坏则应更换。</w:t>
      </w:r>
    </w:p>
    <w:p w14:paraId="2A4999D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C.清除触头表面上的小金属颗粒(不要修锉)。</w:t>
      </w:r>
    </w:p>
    <w:p w14:paraId="275FC10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④信号灯指示仪表维护保养。</w:t>
      </w:r>
    </w:p>
    <w:p w14:paraId="26C0521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A.检查各信号灯是否正常，如不亮则应更换同规格的小灯泡。</w:t>
      </w:r>
    </w:p>
    <w:p w14:paraId="0784C8F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B.检查各指示仪表指示是否正确，如偏差较大则应作适当调整，调整后偏差仍较大应更换。</w:t>
      </w:r>
    </w:p>
    <w:p w14:paraId="5B68708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检查空调风柜、新风风柜各控制箱是否正常，指示是否正常，检查皮带是否正常，检查风柜滤网是否正常，检查风柜减震是否正常，检查风柜消音柜是否运行正常，如以上检查发现故障，应及时向采购人报告，并及时维修。</w:t>
      </w:r>
    </w:p>
    <w:p w14:paraId="0203270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⑥根据规范要求和实际情况，其他必要的维护保养工作。</w:t>
      </w:r>
    </w:p>
    <w:p w14:paraId="2B5F5D52">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（12）中央空调</w:t>
      </w:r>
      <w:r>
        <w:rPr>
          <w:rFonts w:hint="eastAsia" w:ascii="宋体" w:hAnsi="宋体" w:eastAsia="宋体" w:cs="宋体"/>
          <w:b w:val="0"/>
          <w:bCs/>
          <w:color w:val="000000"/>
          <w:sz w:val="24"/>
          <w:szCs w:val="24"/>
          <w:lang w:eastAsia="zh-CN"/>
        </w:rPr>
        <w:t>通</w:t>
      </w:r>
      <w:r>
        <w:rPr>
          <w:rFonts w:hint="eastAsia" w:ascii="宋体" w:hAnsi="宋体" w:eastAsia="宋体" w:cs="宋体"/>
          <w:b w:val="0"/>
          <w:bCs/>
          <w:color w:val="000000"/>
          <w:sz w:val="24"/>
          <w:szCs w:val="24"/>
        </w:rPr>
        <w:t>风系统管道的维护保养</w:t>
      </w:r>
    </w:p>
    <w:p w14:paraId="3F55F7D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①检查中央空调系统的新风管、送风管、回风管是否存在漏风、脱落的情况，如有及时处理。（每</w:t>
      </w:r>
      <w:r>
        <w:rPr>
          <w:rFonts w:hint="eastAsia" w:ascii="宋体" w:hAnsi="宋体" w:eastAsia="宋体" w:cs="宋体"/>
          <w:color w:val="000000"/>
          <w:sz w:val="24"/>
          <w:szCs w:val="24"/>
          <w:lang w:eastAsia="zh-CN"/>
        </w:rPr>
        <w:t>年</w:t>
      </w:r>
      <w:r>
        <w:rPr>
          <w:rFonts w:hint="eastAsia" w:ascii="宋体" w:hAnsi="宋体" w:eastAsia="宋体" w:cs="宋体"/>
          <w:color w:val="000000"/>
          <w:sz w:val="24"/>
          <w:szCs w:val="24"/>
        </w:rPr>
        <w:t>1次）</w:t>
      </w:r>
    </w:p>
    <w:p w14:paraId="3F48512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②检查中央空调系统的新风管、送风管、回风管的固定情况，对有松脱、震动、异响的风管及时处理。（每</w:t>
      </w:r>
      <w:r>
        <w:rPr>
          <w:rFonts w:hint="eastAsia" w:ascii="宋体" w:hAnsi="宋体" w:eastAsia="宋体" w:cs="宋体"/>
          <w:color w:val="000000"/>
          <w:sz w:val="24"/>
          <w:szCs w:val="24"/>
          <w:lang w:eastAsia="zh-CN"/>
        </w:rPr>
        <w:t>年</w:t>
      </w:r>
      <w:r>
        <w:rPr>
          <w:rFonts w:hint="eastAsia" w:ascii="宋体" w:hAnsi="宋体" w:eastAsia="宋体" w:cs="宋体"/>
          <w:color w:val="000000"/>
          <w:sz w:val="24"/>
          <w:szCs w:val="24"/>
        </w:rPr>
        <w:t>1次）</w:t>
      </w:r>
    </w:p>
    <w:p w14:paraId="73D65E2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③根据规范要求和实际情况，其他必要的维护保养工作。</w:t>
      </w:r>
    </w:p>
    <w:p w14:paraId="283EEF49">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（13）中央空调其他项</w:t>
      </w:r>
      <w:r>
        <w:rPr>
          <w:rFonts w:hint="eastAsia" w:ascii="宋体" w:hAnsi="宋体" w:eastAsia="宋体" w:cs="宋体"/>
          <w:b w:val="0"/>
          <w:bCs/>
          <w:color w:val="000000"/>
          <w:sz w:val="24"/>
          <w:szCs w:val="24"/>
          <w:lang w:eastAsia="zh-CN"/>
        </w:rPr>
        <w:t>目的</w:t>
      </w:r>
      <w:r>
        <w:rPr>
          <w:rFonts w:hint="eastAsia" w:ascii="宋体" w:hAnsi="宋体" w:eastAsia="宋体" w:cs="宋体"/>
          <w:b w:val="0"/>
          <w:bCs/>
          <w:color w:val="000000"/>
          <w:sz w:val="24"/>
          <w:szCs w:val="24"/>
        </w:rPr>
        <w:t>维护保养</w:t>
      </w:r>
    </w:p>
    <w:p w14:paraId="179A5B5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①清洁控制柜内外的灰尘、脏物（每</w:t>
      </w:r>
      <w:r>
        <w:rPr>
          <w:rFonts w:hint="eastAsia" w:ascii="宋体" w:hAnsi="宋体" w:eastAsia="宋体" w:cs="宋体"/>
          <w:color w:val="000000"/>
          <w:sz w:val="24"/>
          <w:szCs w:val="24"/>
          <w:lang w:eastAsia="zh-CN"/>
        </w:rPr>
        <w:t>季</w:t>
      </w:r>
      <w:r>
        <w:rPr>
          <w:rFonts w:hint="eastAsia" w:ascii="宋体" w:hAnsi="宋体" w:eastAsia="宋体" w:cs="宋体"/>
          <w:color w:val="000000"/>
          <w:sz w:val="24"/>
          <w:szCs w:val="24"/>
        </w:rPr>
        <w:t>1次）。</w:t>
      </w:r>
    </w:p>
    <w:p w14:paraId="72DA016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②检查、紧固所有接线头，对于烧蚀严重的接线头应更换（每</w:t>
      </w:r>
      <w:r>
        <w:rPr>
          <w:rFonts w:hint="eastAsia" w:ascii="宋体" w:hAnsi="宋体" w:eastAsia="宋体" w:cs="宋体"/>
          <w:color w:val="000000"/>
          <w:sz w:val="24"/>
          <w:szCs w:val="24"/>
          <w:lang w:eastAsia="zh-CN"/>
        </w:rPr>
        <w:t>季</w:t>
      </w:r>
      <w:r>
        <w:rPr>
          <w:rFonts w:hint="eastAsia" w:ascii="宋体" w:hAnsi="宋体" w:eastAsia="宋体" w:cs="宋体"/>
          <w:color w:val="000000"/>
          <w:sz w:val="24"/>
          <w:szCs w:val="24"/>
        </w:rPr>
        <w:t>1次）。</w:t>
      </w:r>
    </w:p>
    <w:p w14:paraId="0C41096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⑤检查风机运行噪音是否符合要求，如噪音超标，应及时维修处理。检查自控系统的控制面板工作是否正常（每</w:t>
      </w:r>
      <w:r>
        <w:rPr>
          <w:rFonts w:hint="eastAsia" w:ascii="宋体" w:hAnsi="宋体" w:eastAsia="宋体" w:cs="宋体"/>
          <w:color w:val="000000"/>
          <w:sz w:val="24"/>
          <w:szCs w:val="24"/>
          <w:lang w:eastAsia="zh-CN"/>
        </w:rPr>
        <w:t>季</w:t>
      </w:r>
      <w:r>
        <w:rPr>
          <w:rFonts w:hint="eastAsia" w:ascii="宋体" w:hAnsi="宋体" w:eastAsia="宋体" w:cs="宋体"/>
          <w:color w:val="000000"/>
          <w:sz w:val="24"/>
          <w:szCs w:val="24"/>
        </w:rPr>
        <w:t>1次）。</w:t>
      </w:r>
    </w:p>
    <w:p w14:paraId="784465F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⑥每半年（中央空调换季时）最少1次，对出风口、回风口、新风风口进行1次清洗，空调风柜出回风口进行1次清洗，每满6个月更换一次过滤网。</w:t>
      </w:r>
    </w:p>
    <w:p w14:paraId="128D0FE2">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⑦供应商进场后要对现有部分主要设备及管网进行1次油漆除锈翻新，费用已包含在投标总价内。</w:t>
      </w:r>
    </w:p>
    <w:p w14:paraId="729EB12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⑧每年</w:t>
      </w:r>
      <w:r>
        <w:rPr>
          <w:rFonts w:hint="eastAsia" w:ascii="宋体" w:hAnsi="宋体" w:eastAsia="宋体" w:cs="宋体"/>
          <w:color w:val="000000"/>
          <w:sz w:val="24"/>
          <w:szCs w:val="24"/>
          <w:lang w:eastAsia="zh-CN"/>
        </w:rPr>
        <w:t>至</w:t>
      </w:r>
      <w:r>
        <w:rPr>
          <w:rFonts w:hint="eastAsia" w:ascii="宋体" w:hAnsi="宋体" w:eastAsia="宋体" w:cs="宋体"/>
          <w:color w:val="000000"/>
          <w:sz w:val="24"/>
          <w:szCs w:val="24"/>
        </w:rPr>
        <w:t>少</w:t>
      </w:r>
      <w:r>
        <w:rPr>
          <w:rFonts w:hint="eastAsia" w:ascii="宋体" w:hAnsi="宋体" w:eastAsia="宋体" w:cs="宋体"/>
          <w:color w:val="000000"/>
          <w:sz w:val="24"/>
          <w:szCs w:val="24"/>
          <w:lang w:eastAsia="zh-CN"/>
        </w:rPr>
        <w:t>对</w:t>
      </w:r>
      <w:r>
        <w:rPr>
          <w:rFonts w:hint="eastAsia" w:ascii="宋体" w:hAnsi="宋体" w:eastAsia="宋体" w:cs="宋体"/>
          <w:color w:val="000000"/>
          <w:sz w:val="24"/>
          <w:szCs w:val="24"/>
        </w:rPr>
        <w:t>医院中央空调维保范围内的所有的设备进行1次电气线路紧固、检查电气设备绝缘是否符合要求，对水泵、阀门进行加油，对压力进行表检测（锅炉用压力表需请第三方检测，其他压力表由供应商自检），每年负责对医院中央空调锅炉报检，检查设备各种紧固件是否紧固，减震垫（弹簧）是否正常有效。</w:t>
      </w:r>
    </w:p>
    <w:p w14:paraId="315E4B7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⑨每月最少1次对因换季暂停使用的设备进行1次保养，并试运行设备（风机、水泵等）10分钟。每月最少1次对主要设备进行清洁。</w:t>
      </w:r>
    </w:p>
    <w:p w14:paraId="6EC77B8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⑩每半月最少1次，供应商安排专业工程师对维保范围内正在使用的主要设备（制冷机组、锅炉、15KW以上的水泵、15KW以上的风机）进行1次巡检。</w:t>
      </w:r>
    </w:p>
    <w:p w14:paraId="4930B5D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⑪供应商技工每周最少1次对运行的中央空调主要设备（锅炉、制冷机组、水泵）进行1次日常巡检，并做好相应的巡检记录。</w:t>
      </w:r>
    </w:p>
    <w:p w14:paraId="264DFEC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⑫检查板换表面是否清洁，有无渗漏。检查膨胀水箱是否正常。</w:t>
      </w:r>
    </w:p>
    <w:p w14:paraId="77EC49F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⑬根据规范要求和实际情况，其他必要的维护保养工作。</w:t>
      </w:r>
    </w:p>
    <w:p w14:paraId="5E7DA965">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outlineLvl w:val="1"/>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3、</w:t>
      </w:r>
      <w:r>
        <w:rPr>
          <w:rFonts w:hint="eastAsia" w:ascii="宋体" w:hAnsi="宋体" w:eastAsia="宋体" w:cs="宋体"/>
          <w:b/>
          <w:color w:val="000000"/>
          <w:sz w:val="24"/>
          <w:szCs w:val="24"/>
        </w:rPr>
        <w:t>分体空调</w:t>
      </w:r>
      <w:r>
        <w:rPr>
          <w:rFonts w:hint="eastAsia" w:ascii="宋体" w:hAnsi="宋体" w:eastAsia="宋体" w:cs="宋体"/>
          <w:b/>
          <w:color w:val="000000"/>
          <w:sz w:val="24"/>
          <w:szCs w:val="24"/>
          <w:lang w:eastAsia="zh-CN"/>
        </w:rPr>
        <w:t>维护保养要求</w:t>
      </w:r>
    </w:p>
    <w:p w14:paraId="6E1D7669">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（1）</w:t>
      </w:r>
      <w:r>
        <w:rPr>
          <w:rFonts w:hint="eastAsia" w:ascii="宋体" w:hAnsi="宋体" w:eastAsia="宋体" w:cs="宋体"/>
          <w:color w:val="000000"/>
          <w:sz w:val="24"/>
          <w:szCs w:val="24"/>
        </w:rPr>
        <w:t>分体机组保养。包括换季时，干燥机体，清扫过滤网，拔掉电源插头，取出遥控器电池；室外机罩上保护罩；重新使用时,检查过滤网是否清洁，并确认已经装上；检查蒸发器、冷凝器是否过脏，有必要清洗否；取下室外机的保护罩，移开遮挡物体；试机检查运行是否正常；确认遥控器电池电力状况。</w:t>
      </w:r>
    </w:p>
    <w:p w14:paraId="7C2AB97C">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（2）</w:t>
      </w:r>
      <w:r>
        <w:rPr>
          <w:rFonts w:hint="eastAsia" w:ascii="宋体" w:hAnsi="宋体" w:eastAsia="宋体" w:cs="宋体"/>
          <w:color w:val="000000"/>
          <w:sz w:val="24"/>
          <w:szCs w:val="24"/>
        </w:rPr>
        <w:t>通风循环系统的检查。检查空气过滤器是否脏堵，室内风机电机接线端子是否紧固，风机线路及接线端子是否老化，风循环系统各固定螺丝是否紧固，以及室内风机电机运转声音及机身温度是否正常。</w:t>
      </w:r>
    </w:p>
    <w:p w14:paraId="337B35A2">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（3）</w:t>
      </w:r>
      <w:r>
        <w:rPr>
          <w:rFonts w:hint="eastAsia" w:ascii="宋体" w:hAnsi="宋体" w:eastAsia="宋体" w:cs="宋体"/>
          <w:color w:val="000000"/>
          <w:sz w:val="24"/>
          <w:szCs w:val="24"/>
        </w:rPr>
        <w:t>控制系统检查。包括检查控制系统菜单的设置情况和控制器记录，查看有关报警记录；检查主电源及各支路的相电压及电流；检查所有的接触器的触点是否清洁，接触是否可靠；检测吸合的瞬时电流，对各接点进行紧固，确保安全；对控制线路进行检测，确保控制的灵敏；对各种的系统保护功能进行检测。</w:t>
      </w:r>
    </w:p>
    <w:p w14:paraId="46F96D3A">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（4）</w:t>
      </w:r>
      <w:r>
        <w:rPr>
          <w:rFonts w:hint="eastAsia" w:ascii="宋体" w:hAnsi="宋体" w:eastAsia="宋体" w:cs="宋体"/>
          <w:color w:val="000000"/>
          <w:sz w:val="24"/>
          <w:szCs w:val="24"/>
        </w:rPr>
        <w:t>室外机检查。用空调专用清洗剂清洗冷凝器，电机电路安全检查、制冷系统压力、电流测试、补加氟利昂。</w:t>
      </w:r>
    </w:p>
    <w:p w14:paraId="3BDB5649">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（5）</w:t>
      </w:r>
      <w:r>
        <w:rPr>
          <w:rFonts w:hint="eastAsia" w:ascii="宋体" w:hAnsi="宋体" w:eastAsia="宋体" w:cs="宋体"/>
          <w:color w:val="000000"/>
          <w:sz w:val="24"/>
          <w:szCs w:val="24"/>
        </w:rPr>
        <w:t>室内机检查。过滤网清洗，电路检查测试、蒸发器消毒和排水管清理。</w:t>
      </w:r>
    </w:p>
    <w:p w14:paraId="04B14074">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（6）</w:t>
      </w:r>
      <w:r>
        <w:rPr>
          <w:rFonts w:hint="eastAsia" w:ascii="宋体" w:hAnsi="宋体" w:eastAsia="宋体" w:cs="宋体"/>
          <w:color w:val="000000"/>
          <w:sz w:val="24"/>
          <w:szCs w:val="24"/>
        </w:rPr>
        <w:t>定期维护。包括清除通风口的杂物，保证通风正常；观察室外机铁架有无松动现象，清洁室外通风网罩内有无异物；同时,保持通风口的畅通无阻；室内、外换热器表面清洗,提高换热器的效率。</w:t>
      </w:r>
    </w:p>
    <w:p w14:paraId="3C6CBC56">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outlineLvl w:val="1"/>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设备停机(换季)检查和预防性保养</w:t>
      </w:r>
      <w:r>
        <w:rPr>
          <w:rFonts w:hint="eastAsia" w:ascii="宋体" w:hAnsi="宋体" w:eastAsia="宋体" w:cs="宋体"/>
          <w:b/>
          <w:color w:val="000000"/>
          <w:sz w:val="24"/>
          <w:szCs w:val="24"/>
          <w:lang w:eastAsia="zh-CN"/>
        </w:rPr>
        <w:t>要求</w:t>
      </w:r>
    </w:p>
    <w:p w14:paraId="7581503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停机期间，每年一次进行下列各项检查，以便能正确评价设备的状态，为下一个运行季节作好准备：</w:t>
      </w:r>
    </w:p>
    <w:p w14:paraId="52FC61CC">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（1）检查冷水机组的安全阀，制冷季节完成后冬季停机保养期间，关闭安全阀以免制冷剂泄漏。安全阀年检工作由供应商负责，年检费用包含着此报价中。</w:t>
      </w:r>
    </w:p>
    <w:p w14:paraId="5B14BD5E">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（2）检查油路系统，制冷季节完成后冬季停机保养期间，关闭油路系统以免润滑油泄漏。</w:t>
      </w:r>
    </w:p>
    <w:p w14:paraId="2704683D">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（3）检查压缩机-电机组件的下列各项，完成预防性保养的各项任务：</w:t>
      </w:r>
    </w:p>
    <w:p w14:paraId="0CB5ACD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用兆欧表测量和记录电机绕阻的绝缘电阻；检查润滑开式电机；检查开式电机驱动装置的定位状态；检查联轴器；检查密封情况；检查滑阀校正，润滑需要润滑的部位。</w:t>
      </w:r>
    </w:p>
    <w:p w14:paraId="299A948A">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（4）检查压缩机润滑油系统的下列各项：</w:t>
      </w:r>
    </w:p>
    <w:p w14:paraId="4CAF401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根据需要更换润滑油、油过滤器和干燥过滤器；检查油泵、密封和油泵电机；清洁排污管；检查加热器和恒温器；检查所有其它的油系统部件，如油冷却器、过滤器和电磁阀等。</w:t>
      </w:r>
    </w:p>
    <w:p w14:paraId="00FC9B14">
      <w:pPr>
        <w:pStyle w:val="10"/>
        <w:keepNext w:val="0"/>
        <w:keepLines w:val="0"/>
        <w:pageBreakBefore w:val="0"/>
        <w:widowControl/>
        <w:numPr>
          <w:ilvl w:val="0"/>
          <w:numId w:val="2"/>
        </w:numPr>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执行下列各项操作，检查电机启动器：</w:t>
      </w:r>
      <w:r>
        <w:rPr>
          <w:rFonts w:hint="eastAsia" w:ascii="宋体" w:hAnsi="宋体" w:eastAsia="宋体" w:cs="宋体"/>
          <w:color w:val="000000"/>
          <w:sz w:val="24"/>
          <w:szCs w:val="24"/>
        </w:rPr>
        <w:t>执行诊断检查程序；清洁接触器或必要时建议更换；检查连接机构；检查所有接线端，并拧紧；检查过载装置，并取油样检查；空载运行启动器（或在启动前）；检查状态指示灯。</w:t>
      </w:r>
    </w:p>
    <w:p w14:paraId="20CA28C9">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（6）检查控制面板，确定下列各项：</w:t>
      </w:r>
      <w:r>
        <w:rPr>
          <w:rFonts w:hint="eastAsia" w:ascii="宋体" w:hAnsi="宋体" w:eastAsia="宋体" w:cs="宋体"/>
          <w:color w:val="000000"/>
          <w:sz w:val="24"/>
          <w:szCs w:val="24"/>
        </w:rPr>
        <w:t>执行诊断检查程序；检查安全停机运行状态；检查所有接线端，并拧紧；检查显示数据的精度和设定值。</w:t>
      </w:r>
    </w:p>
    <w:p w14:paraId="710768F9">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（7）检查冷凝器、蒸发器的下列各项：</w:t>
      </w:r>
      <w:r>
        <w:rPr>
          <w:rFonts w:hint="eastAsia" w:ascii="宋体" w:hAnsi="宋体" w:eastAsia="宋体" w:cs="宋体"/>
          <w:color w:val="000000"/>
          <w:sz w:val="24"/>
          <w:szCs w:val="24"/>
        </w:rPr>
        <w:t>检查水流量；检查水流开关的控制情况；根据运行记录参数分析热交换效果，建议水质处理；必要时拆卸端盖，更换密封垫。</w:t>
      </w:r>
    </w:p>
    <w:p w14:paraId="05E97F96">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b w:val="0"/>
          <w:bCs/>
          <w:color w:val="000000"/>
          <w:sz w:val="24"/>
          <w:szCs w:val="24"/>
        </w:rPr>
        <w:t>（8）检查系统的下列各项：</w:t>
      </w:r>
      <w:r>
        <w:rPr>
          <w:rFonts w:hint="eastAsia" w:ascii="宋体" w:hAnsi="宋体" w:eastAsia="宋体" w:cs="宋体"/>
          <w:color w:val="000000"/>
          <w:sz w:val="24"/>
          <w:szCs w:val="24"/>
        </w:rPr>
        <w:t>进行泄漏检查，找出泄漏处并进行修理；按要求补充制冷剂；记录视液镜的状态；检查制冷剂循环，确认处于正常平衡状态。</w:t>
      </w:r>
    </w:p>
    <w:p w14:paraId="3DBBC4B9">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val="0"/>
          <w:bCs/>
          <w:color w:val="000000"/>
          <w:sz w:val="24"/>
          <w:szCs w:val="24"/>
        </w:rPr>
        <w:t>（9）检查锅炉本体设备及锅炉系统</w:t>
      </w:r>
      <w:r>
        <w:rPr>
          <w:rFonts w:hint="eastAsia" w:ascii="宋体" w:hAnsi="宋体" w:eastAsia="宋体" w:cs="宋体"/>
          <w:b w:val="0"/>
          <w:bCs/>
          <w:color w:val="000000"/>
          <w:sz w:val="24"/>
          <w:szCs w:val="24"/>
          <w:lang w:eastAsia="zh-CN"/>
        </w:rPr>
        <w:t>：</w:t>
      </w:r>
    </w:p>
    <w:p w14:paraId="1D517D3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①检查炉膛内部是否结垢并清洗，检查热交换器并用氨基磺酸投放在交换器内，在锅炉内部水系统投放磷酸酸钠、氢氧化钠，确保锅炉水系统水质在年度停机期间，不腐蚀、不结垢。</w:t>
      </w:r>
    </w:p>
    <w:p w14:paraId="01A2178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②检查燃烧机烟室、烟管，检查电控柜并加放干燥剂，防止电控箱受潮。</w:t>
      </w:r>
    </w:p>
    <w:p w14:paraId="5E94CAC9">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③锅炉整体设备检查并处理完毕后，采用塑料薄膜对锅炉进行完全包装保护、接缝处用透明胶布粘贴，避免灰尘和防止设备受潮。</w:t>
      </w:r>
    </w:p>
    <w:p w14:paraId="2249EC50">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sz w:val="24"/>
          <w:szCs w:val="24"/>
        </w:rPr>
        <w:t>（10）其他</w:t>
      </w:r>
    </w:p>
    <w:p w14:paraId="1973DA7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①遵循检查和维护步骤，修理脱落的保温层。</w:t>
      </w:r>
    </w:p>
    <w:p w14:paraId="730CA1F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②维保中更换的压缩机润滑油必须为原厂正品润滑油，且提供购买相关佐证资料且可追溯。</w:t>
      </w:r>
    </w:p>
    <w:p w14:paraId="71BCBCC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③机组油化验：需提供设备机组油化验报告，根据报告分析机组内部压缩机磨损情况并形成分析报告</w:t>
      </w:r>
      <w:r>
        <w:rPr>
          <w:rFonts w:hint="eastAsia" w:ascii="宋体" w:hAnsi="宋体" w:eastAsia="宋体" w:cs="宋体"/>
          <w:b w:val="0"/>
          <w:bCs/>
          <w:color w:val="000000"/>
          <w:sz w:val="24"/>
          <w:szCs w:val="24"/>
        </w:rPr>
        <w:t>（提供单独承诺函，合同签定之后提供第三方检测机构提供的化验报告）。</w:t>
      </w:r>
    </w:p>
    <w:p w14:paraId="3C1A0ECF">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outlineLvl w:val="1"/>
        <w:rPr>
          <w:rFonts w:hint="eastAsia" w:ascii="宋体" w:hAnsi="宋体" w:eastAsia="宋体" w:cs="宋体"/>
          <w:sz w:val="24"/>
          <w:szCs w:val="24"/>
        </w:rPr>
      </w:pPr>
      <w:r>
        <w:rPr>
          <w:rFonts w:hint="eastAsia" w:ascii="宋体" w:hAnsi="宋体" w:eastAsia="宋体" w:cs="宋体"/>
          <w:b/>
          <w:color w:val="000000"/>
          <w:sz w:val="24"/>
          <w:szCs w:val="24"/>
          <w:lang w:val="en-US" w:eastAsia="zh-CN"/>
        </w:rPr>
        <w:t>5、</w:t>
      </w:r>
      <w:r>
        <w:rPr>
          <w:rFonts w:hint="eastAsia" w:ascii="宋体" w:hAnsi="宋体" w:eastAsia="宋体" w:cs="宋体"/>
          <w:b/>
          <w:color w:val="000000"/>
          <w:sz w:val="24"/>
          <w:szCs w:val="24"/>
        </w:rPr>
        <w:t>净化空调</w:t>
      </w:r>
      <w:r>
        <w:rPr>
          <w:rFonts w:hint="eastAsia" w:ascii="宋体" w:hAnsi="宋体" w:eastAsia="宋体" w:cs="宋体"/>
          <w:b/>
          <w:color w:val="000000"/>
          <w:sz w:val="24"/>
          <w:szCs w:val="24"/>
          <w:lang w:eastAsia="zh-CN"/>
        </w:rPr>
        <w:t>系统</w:t>
      </w:r>
      <w:r>
        <w:rPr>
          <w:rFonts w:hint="eastAsia" w:ascii="宋体" w:hAnsi="宋体" w:eastAsia="宋体" w:cs="宋体"/>
          <w:b/>
          <w:color w:val="000000"/>
          <w:sz w:val="24"/>
          <w:szCs w:val="24"/>
        </w:rPr>
        <w:t>定期检查和定期维保技术</w:t>
      </w:r>
      <w:r>
        <w:rPr>
          <w:rFonts w:hint="eastAsia" w:ascii="宋体" w:hAnsi="宋体" w:eastAsia="宋体" w:cs="宋体"/>
          <w:b/>
          <w:color w:val="000000"/>
          <w:sz w:val="24"/>
          <w:szCs w:val="24"/>
          <w:lang w:eastAsia="zh-CN"/>
        </w:rPr>
        <w:t>服务</w:t>
      </w:r>
      <w:r>
        <w:rPr>
          <w:rFonts w:hint="eastAsia" w:ascii="宋体" w:hAnsi="宋体" w:eastAsia="宋体" w:cs="宋体"/>
          <w:b/>
          <w:color w:val="000000"/>
          <w:sz w:val="24"/>
          <w:szCs w:val="24"/>
        </w:rPr>
        <w:t>要求</w:t>
      </w:r>
    </w:p>
    <w:p w14:paraId="2A2A8823">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5.1</w:t>
      </w:r>
      <w:r>
        <w:rPr>
          <w:rFonts w:hint="eastAsia" w:ascii="宋体" w:hAnsi="宋体" w:eastAsia="宋体" w:cs="宋体"/>
          <w:b/>
          <w:color w:val="000000"/>
          <w:sz w:val="24"/>
          <w:szCs w:val="24"/>
          <w:lang w:eastAsia="zh-CN"/>
        </w:rPr>
        <w:t>空调主机维保技术服务要求</w:t>
      </w:r>
    </w:p>
    <w:p w14:paraId="67136D5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（1）检查冷冻油质量是否正常。</w:t>
      </w:r>
    </w:p>
    <w:p w14:paraId="23F1B92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（2）制冷剂循环系统检查：检查机组吸气压力、制冷剂蒸发温度是否正常；检查机组排气压力、排气温度和制冷剂冷凝温度是否正常。</w:t>
      </w:r>
    </w:p>
    <w:p w14:paraId="355C752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（3）检查机组各保护控制装置并对各保护参数进行校对、调整。</w:t>
      </w:r>
    </w:p>
    <w:p w14:paraId="6AE201E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（4）检查压缩机、风机电机的运行情况，并检测其线圈绝缘情况。</w:t>
      </w:r>
    </w:p>
    <w:p w14:paraId="0AB57C3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（5）检查机组各电磁阀、膨胀阀的运行情况。</w:t>
      </w:r>
    </w:p>
    <w:p w14:paraId="1582A95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（6）检查并清理电路的各接触器、继电器及微电脑控制系统。</w:t>
      </w:r>
    </w:p>
    <w:p w14:paraId="3F24BFE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（7）检查冷凝风机运转情况， 检查及清理翅片积尘。</w:t>
      </w:r>
    </w:p>
    <w:p w14:paraId="0D771C3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（8）检查机组压缩机电机的工作电压、电流及工作温度是否正常。</w:t>
      </w:r>
    </w:p>
    <w:p w14:paraId="6CB6FC4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（9）对机组及控制元件进行外观检查。</w:t>
      </w:r>
    </w:p>
    <w:p w14:paraId="211AA3D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（10）建立设备维保档案，填写设备维修保养记录卡；呈交以上所有项目的月度维保工作报告书。</w:t>
      </w:r>
    </w:p>
    <w:p w14:paraId="3F0A491E">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5.2</w:t>
      </w:r>
      <w:r>
        <w:rPr>
          <w:rFonts w:hint="eastAsia" w:ascii="宋体" w:hAnsi="宋体" w:eastAsia="宋体" w:cs="宋体"/>
          <w:b/>
          <w:color w:val="000000"/>
          <w:sz w:val="24"/>
          <w:szCs w:val="24"/>
        </w:rPr>
        <w:t>组合</w:t>
      </w:r>
      <w:r>
        <w:rPr>
          <w:rFonts w:hint="eastAsia" w:ascii="宋体" w:hAnsi="宋体" w:eastAsia="宋体" w:cs="宋体"/>
          <w:b/>
          <w:color w:val="000000"/>
          <w:sz w:val="24"/>
          <w:szCs w:val="24"/>
          <w:lang w:eastAsia="zh-CN"/>
        </w:rPr>
        <w:t>空气处理机组</w:t>
      </w:r>
      <w:r>
        <w:rPr>
          <w:rFonts w:hint="eastAsia" w:ascii="宋体" w:hAnsi="宋体" w:eastAsia="宋体" w:cs="宋体"/>
          <w:b/>
          <w:color w:val="000000"/>
          <w:sz w:val="24"/>
          <w:szCs w:val="24"/>
        </w:rPr>
        <w:t>的</w:t>
      </w:r>
      <w:r>
        <w:rPr>
          <w:rFonts w:hint="eastAsia" w:ascii="宋体" w:hAnsi="宋体" w:eastAsia="宋体" w:cs="宋体"/>
          <w:b/>
          <w:color w:val="000000"/>
          <w:sz w:val="24"/>
          <w:szCs w:val="24"/>
          <w:lang w:eastAsia="zh-CN"/>
        </w:rPr>
        <w:t>维保技术服务要求</w:t>
      </w:r>
    </w:p>
    <w:p w14:paraId="6E68DDB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（1）检查风机电机轴承运行情况，添加润滑油，必要时进行更换。</w:t>
      </w:r>
    </w:p>
    <w:p w14:paraId="6E53B5E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（2）检查风机电机绝缘情况；检查电机电源及各接线端是否松动、电机各相电流。</w:t>
      </w:r>
    </w:p>
    <w:p w14:paraId="4ED675B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（3）检查并调整风机皮带松紧程度， 必要时进行更换。</w:t>
      </w:r>
    </w:p>
    <w:p w14:paraId="19275DE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（4）检查、调整风机运行的震动及噪音是否正常。</w:t>
      </w:r>
    </w:p>
    <w:p w14:paraId="3532215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（5）检查柜体表面， 做好防腐处理。</w:t>
      </w:r>
    </w:p>
    <w:p w14:paraId="30A55A4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（6）用专业清洁剂清洗风柜内表面、散热翅片； 清理风机叶轮、凝水盘。</w:t>
      </w:r>
    </w:p>
    <w:p w14:paraId="16AD69E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（7）检查机组换热情况， 必要时进行清洗。</w:t>
      </w:r>
    </w:p>
    <w:p w14:paraId="5FACD2C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（8）检查电极加湿器的工作状态、加湿量与信号模量的比例关系是否正常，桶内的水位情况，排水是否通畅，相间电流是否平衡并及时维护。</w:t>
      </w:r>
    </w:p>
    <w:p w14:paraId="665F691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（9）检查加湿器桶内的结垢情况和电极的腐蚀状态，必要时进行维修或更换。</w:t>
      </w:r>
    </w:p>
    <w:p w14:paraId="6BE463A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（10）检查机组保温情况并及时修复， 避免冷凝漏水。</w:t>
      </w:r>
    </w:p>
    <w:p w14:paraId="09982EB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（11）检查机组内的初、中效过滤器、亚高效过滤器的工作情况， 如过滤器的阻力偏高或有破损的情况， 应立即进行更换。</w:t>
      </w:r>
    </w:p>
    <w:p w14:paraId="2269F4D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（12）检查机组内杀菌装置是否正常， 如有损坏应立即更换。</w:t>
      </w:r>
    </w:p>
    <w:p w14:paraId="65A17EB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（13）每半年清洁一次热交换器的翅片， 肋片有压倒的用弛梳梳好。</w:t>
      </w:r>
    </w:p>
    <w:p w14:paraId="7D1D58E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（14）检查风管绝热层， 如有超温、老化、破损须及时修补或更换， 并同时作好保温材料的维护。</w:t>
      </w:r>
    </w:p>
    <w:p w14:paraId="7E6A509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（15）系统的支吊构件检查、修复、除锈刷漆支吊构件必须牢固， 及时修复和紧固。</w:t>
      </w:r>
    </w:p>
    <w:p w14:paraId="67069130">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5.3</w:t>
      </w:r>
      <w:r>
        <w:rPr>
          <w:rFonts w:hint="eastAsia" w:ascii="宋体" w:hAnsi="宋体" w:eastAsia="宋体" w:cs="宋体"/>
          <w:b/>
          <w:color w:val="000000"/>
          <w:sz w:val="24"/>
          <w:szCs w:val="24"/>
        </w:rPr>
        <w:t>排风机的</w:t>
      </w:r>
      <w:r>
        <w:rPr>
          <w:rFonts w:hint="eastAsia" w:ascii="宋体" w:hAnsi="宋体" w:eastAsia="宋体" w:cs="宋体"/>
          <w:b/>
          <w:color w:val="000000"/>
          <w:sz w:val="24"/>
          <w:szCs w:val="24"/>
          <w:lang w:eastAsia="zh-CN"/>
        </w:rPr>
        <w:t>维保技术服务要求</w:t>
      </w:r>
    </w:p>
    <w:p w14:paraId="33A5A26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（1）检查风机电机轴承运行情况，添加润滑油，必要时进行更换。</w:t>
      </w:r>
    </w:p>
    <w:p w14:paraId="054D4870">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（2）检查风机电机绝缘情况； 检查风机电源及各接线端。</w:t>
      </w:r>
    </w:p>
    <w:p w14:paraId="4B41A86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（3）检查风机的运转电流是否正常。</w:t>
      </w:r>
    </w:p>
    <w:p w14:paraId="00EB0D3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（4）检查风机表面， 做好防腐处理。</w:t>
      </w:r>
    </w:p>
    <w:p w14:paraId="160D46E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（5）清理风机叶轮。</w:t>
      </w:r>
    </w:p>
    <w:p w14:paraId="15B8158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（6）检查、调整风机运转时的震动及噪音是否正常。</w:t>
      </w:r>
    </w:p>
    <w:p w14:paraId="0DEE3D07">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5.4</w:t>
      </w:r>
      <w:r>
        <w:rPr>
          <w:rFonts w:hint="eastAsia" w:ascii="宋体" w:hAnsi="宋体" w:eastAsia="宋体" w:cs="宋体"/>
          <w:b/>
          <w:color w:val="000000"/>
          <w:sz w:val="24"/>
          <w:szCs w:val="24"/>
        </w:rPr>
        <w:t>洁净</w:t>
      </w:r>
      <w:r>
        <w:rPr>
          <w:rFonts w:hint="eastAsia" w:ascii="宋体" w:hAnsi="宋体" w:eastAsia="宋体" w:cs="宋体"/>
          <w:b/>
          <w:color w:val="000000"/>
          <w:sz w:val="24"/>
          <w:szCs w:val="24"/>
          <w:lang w:eastAsia="zh-CN"/>
        </w:rPr>
        <w:t>区域</w:t>
      </w:r>
      <w:r>
        <w:rPr>
          <w:rFonts w:hint="eastAsia" w:ascii="宋体" w:hAnsi="宋体" w:eastAsia="宋体" w:cs="宋体"/>
          <w:b/>
          <w:color w:val="000000"/>
          <w:sz w:val="24"/>
          <w:szCs w:val="24"/>
        </w:rPr>
        <w:t>的</w:t>
      </w:r>
      <w:r>
        <w:rPr>
          <w:rFonts w:hint="eastAsia" w:ascii="宋体" w:hAnsi="宋体" w:eastAsia="宋体" w:cs="宋体"/>
          <w:b/>
          <w:color w:val="000000"/>
          <w:sz w:val="24"/>
          <w:szCs w:val="24"/>
          <w:lang w:eastAsia="zh-CN"/>
        </w:rPr>
        <w:t>维保技术服务要求</w:t>
      </w:r>
    </w:p>
    <w:p w14:paraId="52D24CE4">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（1）对手术间、辅助用房、洁净通道进行一次温湿度、风速、噪声、压差、尘埃粒子的检测和调试。</w:t>
      </w:r>
    </w:p>
    <w:p w14:paraId="52A88EF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（2）每周应对手术室及辅助房的回风口过滤器清洁一次，每 3 个月更换 1 次回风口过滤网、对进行更换的应记录和查验。</w:t>
      </w:r>
    </w:p>
    <w:p w14:paraId="5B019A4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（3）每周应对手术室及辅助房的排风口清洁一次，对进行更换的应记录和查验。</w:t>
      </w:r>
    </w:p>
    <w:p w14:paraId="417A4E9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（4）检查送排静压箱及送风装置，静压箱应密封严密，保温良好， 口面风速均匀合理。</w:t>
      </w:r>
    </w:p>
    <w:p w14:paraId="3C6D9EC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（5）检查高效过滤器的密封口处是否漏风和过滤器是否破损，并根据高效过滤器的阻力判断是否需要更换。要求每年更换一次。</w:t>
      </w:r>
    </w:p>
    <w:p w14:paraId="48E6D11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（6）每次更换过滤器时， 应对静压箱的内表面进行清洁、消毒。</w:t>
      </w:r>
    </w:p>
    <w:p w14:paraId="6B90948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（7）检查净化空调风管道的清洁程度，必要时应对其表面进行机器人除尘清扫。</w:t>
      </w:r>
    </w:p>
    <w:p w14:paraId="5F49E0A6">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5.5</w:t>
      </w:r>
      <w:r>
        <w:rPr>
          <w:rFonts w:hint="eastAsia" w:ascii="宋体" w:hAnsi="宋体" w:eastAsia="宋体" w:cs="宋体"/>
          <w:b/>
          <w:color w:val="000000"/>
          <w:sz w:val="24"/>
          <w:szCs w:val="24"/>
        </w:rPr>
        <w:t>空调系统强弱电系统维保</w:t>
      </w:r>
      <w:r>
        <w:rPr>
          <w:rFonts w:hint="eastAsia" w:ascii="宋体" w:hAnsi="宋体" w:eastAsia="宋体" w:cs="宋体"/>
          <w:b/>
          <w:color w:val="000000"/>
          <w:sz w:val="24"/>
          <w:szCs w:val="24"/>
          <w:lang w:eastAsia="zh-CN"/>
        </w:rPr>
        <w:t>技术服务要求</w:t>
      </w:r>
    </w:p>
    <w:p w14:paraId="5804B95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（1）检查空调控制系统、温、湿度显示器、情报面板系统的正常工作。</w:t>
      </w:r>
    </w:p>
    <w:p w14:paraId="53BA3185">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（2）检查监控器显示值与设定值的符合性，包括各区的正压值、梯度监控记录；远控面板控制开关灵活，接触器无打火现象，接线端子牢固，电路板无尘。</w:t>
      </w:r>
    </w:p>
    <w:p w14:paraId="3123416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（3）定期对配电柜箱体及柜内所有电气部件保洁，对交流接触器、热继电器、自动空气开关、中间继电器等所有电子元件， 进行风枪除尘。及时更换老化、受损电子元件和其他配件。定期检查散热风扇状态，确保配电柜通风正常， 风扇运行风量满足电器散热要求。</w:t>
      </w:r>
    </w:p>
    <w:p w14:paraId="3244F60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（4）定期检查及修复弱电系统管线，保证线管完整、牢固、线路整洁，杜绝鼠类进入线管或桥架。定期检测电路绝缘性，紧固接线头，保持接触牢固并做好线路的保养工作。</w:t>
      </w:r>
    </w:p>
    <w:p w14:paraId="0818AF3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（5）定期清洁设备层，确保室内无积水，钢结构无锈，新风口保持清洁、牢固， 做到机房内干燥、通风、清洁、无灰尘、异物。</w:t>
      </w:r>
    </w:p>
    <w:p w14:paraId="31CF70F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（6）建立设备维保档案，填写设备维修保养记录卡；呈交以上所有项目的月度维护工作报告书。</w:t>
      </w:r>
    </w:p>
    <w:p w14:paraId="03B00C54">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5.6</w:t>
      </w:r>
      <w:r>
        <w:rPr>
          <w:rFonts w:hint="eastAsia" w:ascii="宋体" w:hAnsi="宋体" w:eastAsia="宋体" w:cs="宋体"/>
          <w:b/>
          <w:color w:val="000000"/>
          <w:sz w:val="24"/>
          <w:szCs w:val="24"/>
        </w:rPr>
        <w:t>电控系统维保</w:t>
      </w:r>
      <w:r>
        <w:rPr>
          <w:rFonts w:hint="eastAsia" w:ascii="宋体" w:hAnsi="宋体" w:eastAsia="宋体" w:cs="宋体"/>
          <w:b/>
          <w:color w:val="000000"/>
          <w:sz w:val="24"/>
          <w:szCs w:val="24"/>
          <w:lang w:eastAsia="zh-CN"/>
        </w:rPr>
        <w:t>技术服务要求</w:t>
      </w:r>
    </w:p>
    <w:p w14:paraId="7FD37D0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（1）断开控制柜总电源，检查各转换开关，启动、停止按钮动作应灵活可靠。检查柜内空气开关、接触器、继电器等电器是否完好，紧固各电器接触线头和接线端子的接线螺丝。</w:t>
      </w:r>
    </w:p>
    <w:p w14:paraId="384ACB1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（2）检测器件(温度计、压力表、传感器、执行器)维修保养。</w:t>
      </w:r>
    </w:p>
    <w:p w14:paraId="7E6B8F5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（3）检测校对温度、湿度、压力传感器参数是否正常，对不准确的传感器进行更换。</w:t>
      </w:r>
    </w:p>
    <w:p w14:paraId="62D8A6C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（4）检查装检测器的部位是否有渗漏，如有渗漏则进行维修处理。</w:t>
      </w:r>
    </w:p>
    <w:p w14:paraId="3782B2FC">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（5）检查校对各执行器的工作状态， 如有故障进行维修或更换。控制部分维修保养：</w:t>
      </w:r>
    </w:p>
    <w:p w14:paraId="619073D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①清洁控制柜内外的灰尘、脏物；</w:t>
      </w:r>
    </w:p>
    <w:p w14:paraId="3094B3FF">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②检查、紧固所有接线头， 对于烧蚀严重的接线头应更换；</w:t>
      </w:r>
    </w:p>
    <w:p w14:paraId="60D68D2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③交流接触器维修保养： 清除灭弧罩内的碳化物和金属颗粒；</w:t>
      </w:r>
    </w:p>
    <w:p w14:paraId="055BCC0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④清除触头表面及四周的污物(但不要修锉触头)，如触头烧蚀严重则应更换同规格交流接触器；清洁铁芯上的灰尘及脏物；拧紧所有紧固螺栓。</w:t>
      </w:r>
    </w:p>
    <w:p w14:paraId="60F0B788">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⑤热继电器维修保养：检查热继电器的导线接头处有无过热或烧伤痕迹，如有则应整修处理，处理后达不到要求的应更换；检查热继电器上的绝缘盖板是否完整， 如损坏则应更换。</w:t>
      </w:r>
    </w:p>
    <w:p w14:paraId="6EE1273B">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⑥自动空气开关维修保养：用 500V 摇表测量绝缘电阻应不低于 0.5M Ω，否则应烘干处理；清除灭弧罩内的碳化物或金属颗粒，如灭弧罩损坏则应更换； 清除触头表面上的小金属颗粒(不要修锉)。</w:t>
      </w:r>
    </w:p>
    <w:p w14:paraId="415595E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⑦信号灯、指示仪表维修保养：检查各信号灯是否正常，如不亮则应更换同规格的小灯泡；检查各指示仪表指示是否正确，如偏差较大则应作适当调整， 调整后偏差仍较大应更换。</w:t>
      </w:r>
    </w:p>
    <w:p w14:paraId="3B897B87">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⑧间继电器、信号继电器维修保养：对中间继电器、信号继电器做模拟实验，检查二者的动作是否可靠，输出的信号是否正常，如有故障维修或更换同型号的中间继电器、信号继电器；</w:t>
      </w:r>
    </w:p>
    <w:p w14:paraId="494F2A71">
      <w:pPr>
        <w:pStyle w:val="10"/>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5.7洁净区域</w:t>
      </w:r>
      <w:r>
        <w:rPr>
          <w:rFonts w:hint="eastAsia" w:ascii="宋体" w:hAnsi="宋体" w:eastAsia="宋体" w:cs="宋体"/>
          <w:b/>
          <w:color w:val="000000"/>
          <w:sz w:val="24"/>
          <w:szCs w:val="24"/>
        </w:rPr>
        <w:t>监测、检测</w:t>
      </w:r>
      <w:r>
        <w:rPr>
          <w:rFonts w:hint="eastAsia" w:ascii="宋体" w:hAnsi="宋体" w:eastAsia="宋体" w:cs="宋体"/>
          <w:b/>
          <w:color w:val="000000"/>
          <w:sz w:val="24"/>
          <w:szCs w:val="24"/>
          <w:lang w:eastAsia="zh-CN"/>
        </w:rPr>
        <w:t>技术服务要求</w:t>
      </w:r>
    </w:p>
    <w:p w14:paraId="73AB6641">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rPr>
        <w:t>（1）每月对手术间、辅助用房、洁净通道进行一次温、湿度、风速、噪声、压差、尘埃粒子进行监测并记录并出自检报告</w:t>
      </w:r>
      <w:r>
        <w:rPr>
          <w:rFonts w:hint="eastAsia" w:ascii="宋体" w:hAnsi="宋体" w:eastAsia="宋体" w:cs="宋体"/>
          <w:color w:val="000000"/>
          <w:sz w:val="24"/>
          <w:szCs w:val="24"/>
          <w:lang w:eastAsia="zh-CN"/>
        </w:rPr>
        <w:t>荐档。</w:t>
      </w:r>
    </w:p>
    <w:p w14:paraId="6E1254F6">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（2）每1年更换高效过滤器一次，更换后由有资质的第三方检测单位进行检查。执行依据：《医院洁净手术部建筑技术规范》标准。</w:t>
      </w:r>
    </w:p>
    <w:p w14:paraId="2F3E961D">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（3）维护设备（尘埃粒子计数器）：执行依据：《医院洁净手术部建筑技术规范》标准。</w:t>
      </w:r>
    </w:p>
    <w:p w14:paraId="180889A3">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（4）维护设备（温湿度压差测试仪（压力））：执行依据：《医院洁净手术部建筑技术规范》标准。</w:t>
      </w:r>
    </w:p>
    <w:p w14:paraId="5B127C4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（5）维护设备（声级计）：执行依据：《医院洁净手术部建筑技术规范》标准。</w:t>
      </w:r>
    </w:p>
    <w:p w14:paraId="70D1656A">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（6）维护设备（风速仪）：执行依据：《医院洁净手术部建筑技术规范》标准。</w:t>
      </w:r>
    </w:p>
    <w:p w14:paraId="688C1CDE">
      <w:pPr>
        <w:pStyle w:val="10"/>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（7）维护设备（温湿度压差测试仪（温湿度））：执行依据：《医院洁净手术部建筑技术规范》标准。</w:t>
      </w:r>
    </w:p>
    <w:p w14:paraId="353135BF">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outlineLvl w:val="1"/>
        <w:rPr>
          <w:rFonts w:hint="eastAsia" w:ascii="宋体" w:hAnsi="宋体" w:eastAsia="宋体" w:cs="宋体"/>
          <w:sz w:val="24"/>
          <w:szCs w:val="24"/>
        </w:rPr>
      </w:pPr>
      <w:r>
        <w:rPr>
          <w:rFonts w:hint="eastAsia" w:ascii="宋体" w:hAnsi="宋体" w:eastAsia="宋体" w:cs="宋体"/>
          <w:b/>
          <w:color w:val="000000"/>
          <w:sz w:val="24"/>
          <w:szCs w:val="24"/>
          <w:lang w:val="en-US" w:eastAsia="zh-CN"/>
        </w:rPr>
        <w:t>6</w:t>
      </w:r>
      <w:r>
        <w:rPr>
          <w:rFonts w:hint="eastAsia" w:ascii="宋体" w:hAnsi="宋体" w:eastAsia="宋体" w:cs="宋体"/>
          <w:b/>
          <w:color w:val="000000"/>
          <w:sz w:val="24"/>
          <w:szCs w:val="24"/>
        </w:rPr>
        <w:t>、清洗技术</w:t>
      </w:r>
      <w:r>
        <w:rPr>
          <w:rFonts w:hint="eastAsia" w:ascii="宋体" w:hAnsi="宋体" w:eastAsia="宋体" w:cs="宋体"/>
          <w:b/>
          <w:color w:val="000000"/>
          <w:sz w:val="24"/>
          <w:szCs w:val="24"/>
          <w:lang w:eastAsia="zh-CN"/>
        </w:rPr>
        <w:t>服务</w:t>
      </w:r>
      <w:r>
        <w:rPr>
          <w:rFonts w:hint="eastAsia" w:ascii="宋体" w:hAnsi="宋体" w:eastAsia="宋体" w:cs="宋体"/>
          <w:b/>
          <w:color w:val="000000"/>
          <w:sz w:val="24"/>
          <w:szCs w:val="24"/>
        </w:rPr>
        <w:t>要求</w:t>
      </w:r>
    </w:p>
    <w:p w14:paraId="794F63C0">
      <w:pPr>
        <w:pStyle w:val="10"/>
        <w:keepNext w:val="0"/>
        <w:keepLines w:val="0"/>
        <w:pageBreakBefore w:val="0"/>
        <w:widowControl/>
        <w:kinsoku/>
        <w:wordWrap/>
        <w:overflowPunct/>
        <w:topLinePunct w:val="0"/>
        <w:autoSpaceDE/>
        <w:autoSpaceDN/>
        <w:bidi w:val="0"/>
        <w:adjustRightInd/>
        <w:snapToGrid/>
        <w:spacing w:line="360" w:lineRule="auto"/>
        <w:ind w:firstLine="241"/>
        <w:jc w:val="left"/>
        <w:textAlignment w:val="auto"/>
        <w:outlineLvl w:val="1"/>
        <w:rPr>
          <w:rFonts w:hint="eastAsia" w:ascii="宋体" w:hAnsi="宋体" w:eastAsia="宋体" w:cs="宋体"/>
          <w:sz w:val="24"/>
          <w:szCs w:val="24"/>
        </w:rPr>
      </w:pPr>
      <w:r>
        <w:rPr>
          <w:rFonts w:hint="eastAsia" w:ascii="宋体" w:hAnsi="宋体" w:eastAsia="宋体" w:cs="宋体"/>
          <w:b/>
          <w:color w:val="000000"/>
          <w:sz w:val="24"/>
          <w:szCs w:val="24"/>
          <w:lang w:val="en-US" w:eastAsia="zh-CN"/>
        </w:rPr>
        <w:t>6.</w:t>
      </w:r>
      <w:r>
        <w:rPr>
          <w:rFonts w:hint="eastAsia" w:ascii="宋体" w:hAnsi="宋体" w:eastAsia="宋体" w:cs="宋体"/>
          <w:b/>
          <w:color w:val="000000"/>
          <w:sz w:val="24"/>
          <w:szCs w:val="24"/>
        </w:rPr>
        <w:t>1、通风系统清洗技术要求</w:t>
      </w:r>
    </w:p>
    <w:p w14:paraId="19B0BEA5">
      <w:pPr>
        <w:pStyle w:val="10"/>
        <w:keepNext w:val="0"/>
        <w:keepLines w:val="0"/>
        <w:pageBreakBefore w:val="0"/>
        <w:widowControl/>
        <w:kinsoku/>
        <w:wordWrap/>
        <w:overflowPunct/>
        <w:topLinePunct w:val="0"/>
        <w:autoSpaceDE/>
        <w:autoSpaceDN/>
        <w:bidi w:val="0"/>
        <w:adjustRightInd/>
        <w:snapToGrid/>
        <w:spacing w:line="360" w:lineRule="auto"/>
        <w:ind w:firstLine="24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（1）风管清洗须干净彻底、无死角盲区，表面视觉无明显粘结物和碎屑。清洗后风管内表面卫生检测参考指标应达到以下要求：</w:t>
      </w:r>
    </w:p>
    <w:p w14:paraId="6BC9A081">
      <w:pPr>
        <w:pStyle w:val="10"/>
        <w:keepNext w:val="0"/>
        <w:keepLines w:val="0"/>
        <w:pageBreakBefore w:val="0"/>
        <w:widowControl/>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积尘残留量≤1.0g/m</w:t>
      </w:r>
      <w:r>
        <w:rPr>
          <w:rFonts w:hint="eastAsia" w:ascii="宋体" w:hAnsi="宋体" w:eastAsia="宋体" w:cs="宋体"/>
          <w:color w:val="000000"/>
          <w:sz w:val="24"/>
          <w:szCs w:val="24"/>
          <w:vertAlign w:val="superscript"/>
        </w:rPr>
        <w:t>2</w:t>
      </w:r>
      <w:r>
        <w:rPr>
          <w:rFonts w:hint="eastAsia" w:ascii="宋体" w:hAnsi="宋体" w:eastAsia="宋体" w:cs="宋体"/>
          <w:color w:val="000000"/>
          <w:sz w:val="24"/>
          <w:szCs w:val="24"/>
        </w:rPr>
        <w:t>；</w:t>
      </w:r>
    </w:p>
    <w:p w14:paraId="24F57857">
      <w:pPr>
        <w:pStyle w:val="10"/>
        <w:keepNext w:val="0"/>
        <w:keepLines w:val="0"/>
        <w:pageBreakBefore w:val="0"/>
        <w:widowControl/>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细菌总数≤100CFU/cm</w:t>
      </w:r>
      <w:r>
        <w:rPr>
          <w:rFonts w:hint="eastAsia" w:ascii="宋体" w:hAnsi="宋体" w:eastAsia="宋体" w:cs="宋体"/>
          <w:color w:val="000000"/>
          <w:sz w:val="24"/>
          <w:szCs w:val="24"/>
          <w:vertAlign w:val="superscript"/>
        </w:rPr>
        <w:t>2</w:t>
      </w:r>
      <w:r>
        <w:rPr>
          <w:rFonts w:hint="eastAsia" w:ascii="宋体" w:hAnsi="宋体" w:eastAsia="宋体" w:cs="宋体"/>
          <w:color w:val="000000"/>
          <w:sz w:val="24"/>
          <w:szCs w:val="24"/>
        </w:rPr>
        <w:t>；</w:t>
      </w:r>
    </w:p>
    <w:p w14:paraId="2C6CC962">
      <w:pPr>
        <w:pStyle w:val="10"/>
        <w:keepNext w:val="0"/>
        <w:keepLines w:val="0"/>
        <w:pageBreakBefore w:val="0"/>
        <w:widowControl/>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真菌总数≤100CFU/cm</w:t>
      </w:r>
      <w:r>
        <w:rPr>
          <w:rFonts w:hint="eastAsia" w:ascii="宋体" w:hAnsi="宋体" w:eastAsia="宋体" w:cs="宋体"/>
          <w:color w:val="000000"/>
          <w:sz w:val="24"/>
          <w:szCs w:val="24"/>
          <w:vertAlign w:val="superscript"/>
        </w:rPr>
        <w:t>2</w:t>
      </w:r>
      <w:r>
        <w:rPr>
          <w:rFonts w:hint="eastAsia" w:ascii="宋体" w:hAnsi="宋体" w:eastAsia="宋体" w:cs="宋体"/>
          <w:color w:val="000000"/>
          <w:sz w:val="24"/>
          <w:szCs w:val="24"/>
        </w:rPr>
        <w:t>。</w:t>
      </w:r>
    </w:p>
    <w:p w14:paraId="294DB788">
      <w:pPr>
        <w:pStyle w:val="10"/>
        <w:keepNext w:val="0"/>
        <w:keepLines w:val="0"/>
        <w:pageBreakBefore w:val="0"/>
        <w:widowControl/>
        <w:kinsoku/>
        <w:wordWrap/>
        <w:overflowPunct/>
        <w:topLinePunct w:val="0"/>
        <w:autoSpaceDE/>
        <w:autoSpaceDN/>
        <w:bidi w:val="0"/>
        <w:adjustRightInd/>
        <w:snapToGrid/>
        <w:spacing w:line="360" w:lineRule="auto"/>
        <w:ind w:firstLine="24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（2）消毒后其自然菌去除率应大于 90%，送风卫生检测参考指标应达到以下要求：</w:t>
      </w:r>
    </w:p>
    <w:p w14:paraId="1F8CBBDC">
      <w:pPr>
        <w:pStyle w:val="10"/>
        <w:keepNext w:val="0"/>
        <w:keepLines w:val="0"/>
        <w:pageBreakBefore w:val="0"/>
        <w:widowControl/>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可吸入颗粒物PM10≤0.08 mg/m</w:t>
      </w:r>
      <w:r>
        <w:rPr>
          <w:rFonts w:hint="eastAsia" w:ascii="宋体" w:hAnsi="宋体" w:eastAsia="宋体" w:cs="宋体"/>
          <w:color w:val="000000"/>
          <w:sz w:val="24"/>
          <w:szCs w:val="24"/>
          <w:vertAlign w:val="superscript"/>
        </w:rPr>
        <w:t>3</w:t>
      </w:r>
      <w:r>
        <w:rPr>
          <w:rFonts w:hint="eastAsia" w:ascii="宋体" w:hAnsi="宋体" w:eastAsia="宋体" w:cs="宋体"/>
          <w:color w:val="000000"/>
          <w:sz w:val="24"/>
          <w:szCs w:val="24"/>
        </w:rPr>
        <w:t>；</w:t>
      </w:r>
    </w:p>
    <w:p w14:paraId="1D71E0E4">
      <w:pPr>
        <w:pStyle w:val="10"/>
        <w:keepNext w:val="0"/>
        <w:keepLines w:val="0"/>
        <w:pageBreakBefore w:val="0"/>
        <w:widowControl/>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细菌总数≤500CFU/m</w:t>
      </w:r>
      <w:r>
        <w:rPr>
          <w:rFonts w:hint="eastAsia" w:ascii="宋体" w:hAnsi="宋体" w:eastAsia="宋体" w:cs="宋体"/>
          <w:color w:val="000000"/>
          <w:sz w:val="24"/>
          <w:szCs w:val="24"/>
          <w:vertAlign w:val="superscript"/>
        </w:rPr>
        <w:t>3</w:t>
      </w:r>
      <w:r>
        <w:rPr>
          <w:rFonts w:hint="eastAsia" w:ascii="宋体" w:hAnsi="宋体" w:eastAsia="宋体" w:cs="宋体"/>
          <w:color w:val="000000"/>
          <w:sz w:val="24"/>
          <w:szCs w:val="24"/>
        </w:rPr>
        <w:t>；</w:t>
      </w:r>
    </w:p>
    <w:p w14:paraId="65EF7EEF">
      <w:pPr>
        <w:pStyle w:val="10"/>
        <w:keepNext w:val="0"/>
        <w:keepLines w:val="0"/>
        <w:pageBreakBefore w:val="0"/>
        <w:widowControl/>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真菌总数≤500CFU/m</w:t>
      </w:r>
      <w:r>
        <w:rPr>
          <w:rFonts w:hint="eastAsia" w:ascii="宋体" w:hAnsi="宋体" w:eastAsia="宋体" w:cs="宋体"/>
          <w:color w:val="000000"/>
          <w:sz w:val="24"/>
          <w:szCs w:val="24"/>
          <w:vertAlign w:val="superscript"/>
        </w:rPr>
        <w:t>3</w:t>
      </w:r>
      <w:r>
        <w:rPr>
          <w:rFonts w:hint="eastAsia" w:ascii="宋体" w:hAnsi="宋体" w:eastAsia="宋体" w:cs="宋体"/>
          <w:color w:val="000000"/>
          <w:sz w:val="24"/>
          <w:szCs w:val="24"/>
        </w:rPr>
        <w:t>；</w:t>
      </w:r>
    </w:p>
    <w:p w14:paraId="18697E5B">
      <w:pPr>
        <w:pStyle w:val="10"/>
        <w:keepNext w:val="0"/>
        <w:keepLines w:val="0"/>
        <w:pageBreakBefore w:val="0"/>
        <w:widowControl/>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溶血性链球菌等致病微生物不得检出。</w:t>
      </w:r>
    </w:p>
    <w:p w14:paraId="45C0574D">
      <w:pPr>
        <w:pStyle w:val="10"/>
        <w:keepNext w:val="0"/>
        <w:keepLines w:val="0"/>
        <w:pageBreakBefore w:val="0"/>
        <w:widowControl/>
        <w:kinsoku/>
        <w:wordWrap/>
        <w:overflowPunct/>
        <w:topLinePunct w:val="0"/>
        <w:autoSpaceDE/>
        <w:autoSpaceDN/>
        <w:bidi w:val="0"/>
        <w:adjustRightInd/>
        <w:snapToGrid/>
        <w:spacing w:line="360" w:lineRule="auto"/>
        <w:ind w:firstLine="24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（3）风口、过滤网等部件清洗后不结垢、干净并呈无污水下滴的干燥状态。</w:t>
      </w:r>
    </w:p>
    <w:p w14:paraId="0D7D8AD1">
      <w:pPr>
        <w:pStyle w:val="10"/>
        <w:keepNext w:val="0"/>
        <w:keepLines w:val="0"/>
        <w:pageBreakBefore w:val="0"/>
        <w:widowControl/>
        <w:kinsoku/>
        <w:wordWrap/>
        <w:overflowPunct/>
        <w:topLinePunct w:val="0"/>
        <w:autoSpaceDE/>
        <w:autoSpaceDN/>
        <w:bidi w:val="0"/>
        <w:adjustRightInd/>
        <w:snapToGrid/>
        <w:spacing w:line="360" w:lineRule="auto"/>
        <w:ind w:firstLine="24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（4）末端设备翅片清洗后不结垢，蜗壳内表面及叶轮无污染，表面光亮。对检测不合格的责令全部返工重新清洗，直到检测合格。</w:t>
      </w:r>
    </w:p>
    <w:p w14:paraId="000FE476">
      <w:pPr>
        <w:pStyle w:val="10"/>
        <w:spacing w:line="360" w:lineRule="auto"/>
        <w:ind w:firstLine="240"/>
        <w:jc w:val="both"/>
        <w:rPr>
          <w:rFonts w:hint="eastAsia" w:ascii="宋体" w:hAnsi="宋体" w:eastAsia="宋体" w:cs="宋体"/>
          <w:sz w:val="24"/>
          <w:szCs w:val="24"/>
        </w:rPr>
      </w:pPr>
    </w:p>
    <w:p w14:paraId="47FFCC3C">
      <w:pPr>
        <w:pStyle w:val="10"/>
        <w:ind w:firstLine="240"/>
        <w:jc w:val="both"/>
        <w:outlineLvl w:val="1"/>
        <w:rPr>
          <w:rFonts w:hint="eastAsia" w:ascii="宋体" w:hAnsi="宋体" w:eastAsia="宋体" w:cs="宋体"/>
          <w:sz w:val="24"/>
          <w:szCs w:val="24"/>
        </w:rPr>
      </w:pPr>
      <w:r>
        <w:rPr>
          <w:rFonts w:hint="eastAsia" w:ascii="宋体" w:hAnsi="宋体" w:eastAsia="宋体" w:cs="宋体"/>
          <w:b/>
          <w:bCs/>
          <w:color w:val="000000"/>
          <w:sz w:val="24"/>
          <w:szCs w:val="24"/>
          <w:lang w:val="en-US" w:eastAsia="zh-CN"/>
        </w:rPr>
        <w:t>6.2</w:t>
      </w:r>
      <w:r>
        <w:rPr>
          <w:rFonts w:hint="eastAsia" w:ascii="宋体" w:hAnsi="宋体" w:eastAsia="宋体" w:cs="宋体"/>
          <w:b/>
          <w:bCs/>
          <w:color w:val="000000"/>
          <w:sz w:val="24"/>
          <w:szCs w:val="24"/>
        </w:rPr>
        <w:t>、清洗项目及质量标准：</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14"/>
        <w:gridCol w:w="731"/>
        <w:gridCol w:w="5630"/>
        <w:gridCol w:w="937"/>
      </w:tblGrid>
      <w:tr w14:paraId="0D13BC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tcBorders>
              <w:top w:val="single" w:color="000000" w:sz="4" w:space="0"/>
              <w:left w:val="single" w:color="000000" w:sz="4" w:space="0"/>
              <w:bottom w:val="single" w:color="000000" w:sz="4" w:space="0"/>
              <w:right w:val="single" w:color="000000" w:sz="4" w:space="0"/>
            </w:tcBorders>
            <w:tcMar>
              <w:top w:w="1" w:type="dxa"/>
              <w:left w:w="1" w:type="dxa"/>
              <w:bottom w:w="1" w:type="dxa"/>
              <w:right w:w="1" w:type="dxa"/>
            </w:tcMar>
          </w:tcPr>
          <w:p w14:paraId="0F5F0DA7">
            <w:pPr>
              <w:pStyle w:val="10"/>
              <w:jc w:val="left"/>
              <w:rPr>
                <w:rFonts w:hint="eastAsia" w:ascii="宋体" w:hAnsi="宋体" w:eastAsia="宋体" w:cs="宋体"/>
                <w:sz w:val="24"/>
                <w:szCs w:val="24"/>
              </w:rPr>
            </w:pPr>
            <w:r>
              <w:rPr>
                <w:rFonts w:hint="eastAsia" w:ascii="宋体" w:hAnsi="宋体" w:eastAsia="宋体" w:cs="宋体"/>
                <w:b/>
                <w:color w:val="000000"/>
                <w:sz w:val="24"/>
                <w:szCs w:val="24"/>
              </w:rPr>
              <w:t>项目名称</w:t>
            </w:r>
          </w:p>
        </w:tc>
        <w:tc>
          <w:tcPr>
            <w:tcW w:w="791" w:type="dxa"/>
            <w:tcBorders>
              <w:top w:val="single" w:color="000000" w:sz="4" w:space="0"/>
              <w:left w:val="nil"/>
              <w:bottom w:val="single" w:color="000000" w:sz="4" w:space="0"/>
              <w:right w:val="single" w:color="000000" w:sz="4" w:space="0"/>
            </w:tcBorders>
            <w:tcMar>
              <w:top w:w="1" w:type="dxa"/>
              <w:left w:w="1" w:type="dxa"/>
              <w:bottom w:w="1" w:type="dxa"/>
              <w:right w:w="1" w:type="dxa"/>
            </w:tcMar>
          </w:tcPr>
          <w:p w14:paraId="3785354F">
            <w:pPr>
              <w:pStyle w:val="10"/>
              <w:jc w:val="center"/>
              <w:rPr>
                <w:rFonts w:hint="eastAsia" w:ascii="宋体" w:hAnsi="宋体" w:eastAsia="宋体" w:cs="宋体"/>
                <w:sz w:val="24"/>
                <w:szCs w:val="24"/>
              </w:rPr>
            </w:pPr>
            <w:r>
              <w:rPr>
                <w:rFonts w:hint="eastAsia" w:ascii="宋体" w:hAnsi="宋体" w:eastAsia="宋体" w:cs="宋体"/>
                <w:b/>
                <w:color w:val="000000"/>
                <w:sz w:val="24"/>
                <w:szCs w:val="24"/>
              </w:rPr>
              <w:t>名 目</w:t>
            </w:r>
          </w:p>
        </w:tc>
        <w:tc>
          <w:tcPr>
            <w:tcW w:w="6163" w:type="dxa"/>
            <w:tcBorders>
              <w:top w:val="single" w:color="000000" w:sz="4" w:space="0"/>
              <w:left w:val="nil"/>
              <w:bottom w:val="single" w:color="000000" w:sz="4" w:space="0"/>
              <w:right w:val="single" w:color="000000" w:sz="4" w:space="0"/>
            </w:tcBorders>
            <w:tcMar>
              <w:top w:w="1" w:type="dxa"/>
              <w:left w:w="1" w:type="dxa"/>
              <w:bottom w:w="1" w:type="dxa"/>
              <w:right w:w="1" w:type="dxa"/>
            </w:tcMar>
          </w:tcPr>
          <w:p w14:paraId="3FAEB967">
            <w:pPr>
              <w:pStyle w:val="10"/>
              <w:jc w:val="center"/>
              <w:rPr>
                <w:rFonts w:hint="eastAsia" w:ascii="宋体" w:hAnsi="宋体" w:eastAsia="宋体" w:cs="宋体"/>
                <w:sz w:val="24"/>
                <w:szCs w:val="24"/>
              </w:rPr>
            </w:pPr>
            <w:r>
              <w:rPr>
                <w:rFonts w:hint="eastAsia" w:ascii="宋体" w:hAnsi="宋体" w:eastAsia="宋体" w:cs="宋体"/>
                <w:b/>
                <w:color w:val="000000"/>
                <w:sz w:val="24"/>
                <w:szCs w:val="24"/>
              </w:rPr>
              <w:t>施工工艺要求及内部质量验收标准</w:t>
            </w:r>
          </w:p>
        </w:tc>
        <w:tc>
          <w:tcPr>
            <w:tcW w:w="1023" w:type="dxa"/>
            <w:tcBorders>
              <w:top w:val="single" w:color="000000" w:sz="4" w:space="0"/>
              <w:left w:val="nil"/>
              <w:bottom w:val="single" w:color="000000" w:sz="4" w:space="0"/>
              <w:right w:val="single" w:color="000000" w:sz="4" w:space="0"/>
            </w:tcBorders>
            <w:tcMar>
              <w:top w:w="1" w:type="dxa"/>
              <w:left w:w="1" w:type="dxa"/>
              <w:bottom w:w="1" w:type="dxa"/>
              <w:right w:w="1" w:type="dxa"/>
            </w:tcMar>
          </w:tcPr>
          <w:p w14:paraId="72DEA3C8">
            <w:pPr>
              <w:pStyle w:val="10"/>
              <w:jc w:val="center"/>
              <w:rPr>
                <w:rFonts w:hint="eastAsia" w:ascii="宋体" w:hAnsi="宋体" w:eastAsia="宋体" w:cs="宋体"/>
                <w:sz w:val="24"/>
                <w:szCs w:val="24"/>
              </w:rPr>
            </w:pPr>
            <w:r>
              <w:rPr>
                <w:rFonts w:hint="eastAsia" w:ascii="宋体" w:hAnsi="宋体" w:eastAsia="宋体" w:cs="宋体"/>
                <w:b/>
                <w:color w:val="000000"/>
                <w:sz w:val="24"/>
                <w:szCs w:val="24"/>
              </w:rPr>
              <w:t>备  注</w:t>
            </w:r>
          </w:p>
        </w:tc>
      </w:tr>
      <w:tr w14:paraId="66F302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vMerge w:val="restart"/>
            <w:tcBorders>
              <w:top w:val="nil"/>
              <w:left w:val="single" w:color="000000" w:sz="4" w:space="0"/>
              <w:bottom w:val="single" w:color="000000" w:sz="4" w:space="0"/>
              <w:right w:val="single" w:color="000000" w:sz="4" w:space="0"/>
            </w:tcBorders>
            <w:tcMar>
              <w:top w:w="1" w:type="dxa"/>
              <w:left w:w="1" w:type="dxa"/>
              <w:bottom w:w="1" w:type="dxa"/>
              <w:right w:w="1" w:type="dxa"/>
            </w:tcMar>
          </w:tcPr>
          <w:p w14:paraId="7EF2216F">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中央空调通风管道清洗消毒</w:t>
            </w:r>
          </w:p>
        </w:tc>
        <w:tc>
          <w:tcPr>
            <w:tcW w:w="791" w:type="dxa"/>
            <w:tcBorders>
              <w:top w:val="nil"/>
              <w:left w:val="nil"/>
              <w:bottom w:val="single" w:color="000000" w:sz="4" w:space="0"/>
              <w:right w:val="single" w:color="000000" w:sz="4" w:space="0"/>
            </w:tcBorders>
            <w:tcMar>
              <w:top w:w="1" w:type="dxa"/>
              <w:left w:w="1" w:type="dxa"/>
              <w:bottom w:w="1" w:type="dxa"/>
              <w:right w:w="1" w:type="dxa"/>
            </w:tcMar>
          </w:tcPr>
          <w:p w14:paraId="35C79D5E">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施工工艺标准</w:t>
            </w:r>
          </w:p>
        </w:tc>
        <w:tc>
          <w:tcPr>
            <w:tcW w:w="6163" w:type="dxa"/>
            <w:tcBorders>
              <w:top w:val="nil"/>
              <w:left w:val="nil"/>
              <w:bottom w:val="single" w:color="000000" w:sz="4" w:space="0"/>
              <w:right w:val="single" w:color="000000" w:sz="4" w:space="0"/>
            </w:tcBorders>
            <w:tcMar>
              <w:top w:w="1" w:type="dxa"/>
              <w:left w:w="1" w:type="dxa"/>
              <w:bottom w:w="1" w:type="dxa"/>
              <w:right w:w="1" w:type="dxa"/>
            </w:tcMar>
          </w:tcPr>
          <w:p w14:paraId="54C1A5D8">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1、施工要求：</w:t>
            </w:r>
          </w:p>
          <w:p w14:paraId="1B680874">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1）清洗必需采用专用风管清洗机器人进行清洗，严禁操作人员进入通风管道清洗，清洗施工现场要求必需分段隔离清洗，设置封闭隔离作业区。清洗消毒时，应与采购人有关人员沟通，服从采购人安排，做到安全文明施工。</w:t>
            </w:r>
          </w:p>
          <w:p w14:paraId="773420F8">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2）为保证管道的完整性，同时结合院内中央空调通风管道系统的结构状况严禁在风管上禁止在风管上增加新的作业入口。</w:t>
            </w:r>
          </w:p>
          <w:p w14:paraId="104260A2">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3）在清洗消毒时，造成设备系统产生故障乃至损坏，产生的一切后果及责任由成交供应商完全责任，施工时，不能影响采购人正常工作，工期根据采购人要求确定，施工时间不得与采购人正常工作发生冲突。</w:t>
            </w:r>
          </w:p>
          <w:p w14:paraId="44A62194">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4）清洗完成后，风管中关闭的调节阀回调至原有状态，不影响空调系统原有的送回风效果。</w:t>
            </w:r>
          </w:p>
          <w:p w14:paraId="72B8510A">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5）施工现场设备启动瞬间电流不得高于10A，噪音≤45dB；</w:t>
            </w:r>
          </w:p>
          <w:p w14:paraId="5436EDBA">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2、风管清洗效果的影像资料：集中空调通风系统清洗，必需使用全方位录像检测机器人将所有风管清洗前、中、后的三个阶段情况进行全程不间断录制成影像资料交采购人。</w:t>
            </w:r>
          </w:p>
          <w:p w14:paraId="0F275BF9">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3、污染物的处理：从空调系统清除出来的所有污染物均应妥善保存，并按医疗废物收运要求交医院进行转运处置，否则所导致的一切后果均由中标人自行承担。</w:t>
            </w:r>
          </w:p>
          <w:p w14:paraId="75B3149F">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5、消毒剂要求：必需采用空调专用无色、无味、无毒负性、无腐蚀消毒剂，并提供国家认可的第三方检测机构出具的消毒剂检测报告。</w:t>
            </w:r>
          </w:p>
          <w:p w14:paraId="58E00962">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注：凡施工过程中未按标准进行施工的不得进行下一步施工流程。</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17973F17">
            <w:pPr>
              <w:pStyle w:val="10"/>
              <w:jc w:val="center"/>
              <w:rPr>
                <w:rFonts w:hint="eastAsia" w:ascii="宋体" w:hAnsi="宋体" w:eastAsia="宋体" w:cs="宋体"/>
                <w:sz w:val="24"/>
                <w:szCs w:val="24"/>
              </w:rPr>
            </w:pPr>
          </w:p>
        </w:tc>
      </w:tr>
      <w:tr w14:paraId="06381F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vMerge w:val="continue"/>
            <w:tcBorders>
              <w:top w:val="nil"/>
              <w:left w:val="single" w:color="000000" w:sz="4" w:space="0"/>
              <w:bottom w:val="single" w:color="000000" w:sz="4" w:space="0"/>
              <w:right w:val="single" w:color="000000" w:sz="4" w:space="0"/>
            </w:tcBorders>
          </w:tcPr>
          <w:p w14:paraId="1AC081C2">
            <w:pPr>
              <w:rPr>
                <w:rFonts w:hint="eastAsia" w:ascii="宋体" w:hAnsi="宋体" w:eastAsia="宋体" w:cs="宋体"/>
                <w:b w:val="0"/>
                <w:bCs/>
                <w:sz w:val="24"/>
                <w:szCs w:val="24"/>
              </w:rPr>
            </w:pPr>
          </w:p>
        </w:tc>
        <w:tc>
          <w:tcPr>
            <w:tcW w:w="791" w:type="dxa"/>
            <w:tcBorders>
              <w:top w:val="nil"/>
              <w:left w:val="nil"/>
              <w:bottom w:val="single" w:color="000000" w:sz="4" w:space="0"/>
              <w:right w:val="single" w:color="000000" w:sz="4" w:space="0"/>
            </w:tcBorders>
            <w:tcMar>
              <w:top w:w="1" w:type="dxa"/>
              <w:left w:w="1" w:type="dxa"/>
              <w:bottom w:w="1" w:type="dxa"/>
              <w:right w:w="1" w:type="dxa"/>
            </w:tcMar>
          </w:tcPr>
          <w:p w14:paraId="13772BD0">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清洗质量及验收达标标准</w:t>
            </w:r>
          </w:p>
        </w:tc>
        <w:tc>
          <w:tcPr>
            <w:tcW w:w="6163" w:type="dxa"/>
            <w:tcBorders>
              <w:top w:val="nil"/>
              <w:left w:val="nil"/>
              <w:bottom w:val="single" w:color="000000" w:sz="4" w:space="0"/>
              <w:right w:val="single" w:color="000000" w:sz="4" w:space="0"/>
            </w:tcBorders>
            <w:tcMar>
              <w:top w:w="1" w:type="dxa"/>
              <w:left w:w="1" w:type="dxa"/>
              <w:bottom w:w="1" w:type="dxa"/>
              <w:right w:w="1" w:type="dxa"/>
            </w:tcMar>
          </w:tcPr>
          <w:p w14:paraId="1178FAAE">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1、每个楼层（作业区域）施工完成后必需经采购人相关管理部门人员对清洗效果、质量进行检查，经检查合格以后双方在施工记录上签字确认后，方可进行下一阶段的施工，不合格不得进入下一环节施工。</w:t>
            </w:r>
          </w:p>
          <w:p w14:paraId="0E4C331E">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2、中标人必须提供高清检测机器人，为采购人相关管理人员对清洗后的管道系统进行清洗效果检测。</w:t>
            </w:r>
          </w:p>
          <w:p w14:paraId="2F707938">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3、清洗后的风管系统通过目测，不得有任何建筑垃圾、灰尘等。</w:t>
            </w:r>
          </w:p>
          <w:p w14:paraId="6353ADB1">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4、中标人必需配合采购人内部对已经施工完成的任意区域或点位进行抽查。</w:t>
            </w:r>
          </w:p>
          <w:p w14:paraId="2BABD7EB">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注：凡施经检查不符合以上内部验收标准的，必需进行返工，返工达到内部验收标准后，再由第三方专业机构进行最终检测并出具检测报告，检测费用包含在总价中。</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576FBA3E">
            <w:pPr>
              <w:pStyle w:val="10"/>
              <w:jc w:val="center"/>
              <w:rPr>
                <w:rFonts w:hint="eastAsia" w:ascii="宋体" w:hAnsi="宋体" w:eastAsia="宋体" w:cs="宋体"/>
                <w:sz w:val="24"/>
                <w:szCs w:val="24"/>
              </w:rPr>
            </w:pPr>
          </w:p>
        </w:tc>
      </w:tr>
      <w:tr w14:paraId="675AC3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vMerge w:val="restart"/>
            <w:tcBorders>
              <w:top w:val="nil"/>
              <w:left w:val="single" w:color="000000" w:sz="4" w:space="0"/>
              <w:bottom w:val="single" w:color="000000" w:sz="4" w:space="0"/>
              <w:right w:val="single" w:color="000000" w:sz="4" w:space="0"/>
            </w:tcBorders>
            <w:tcMar>
              <w:top w:w="1" w:type="dxa"/>
              <w:left w:w="1" w:type="dxa"/>
              <w:bottom w:w="1" w:type="dxa"/>
              <w:right w:w="1" w:type="dxa"/>
            </w:tcMar>
          </w:tcPr>
          <w:p w14:paraId="3BF8ED80">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风机盘管新风机组清洗消毒</w:t>
            </w:r>
          </w:p>
        </w:tc>
        <w:tc>
          <w:tcPr>
            <w:tcW w:w="791" w:type="dxa"/>
            <w:tcBorders>
              <w:top w:val="nil"/>
              <w:left w:val="nil"/>
              <w:bottom w:val="single" w:color="000000" w:sz="4" w:space="0"/>
              <w:right w:val="single" w:color="000000" w:sz="4" w:space="0"/>
            </w:tcBorders>
            <w:tcMar>
              <w:top w:w="1" w:type="dxa"/>
              <w:left w:w="1" w:type="dxa"/>
              <w:bottom w:w="1" w:type="dxa"/>
              <w:right w:w="1" w:type="dxa"/>
            </w:tcMar>
          </w:tcPr>
          <w:p w14:paraId="74F660DB">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施工工艺标准</w:t>
            </w:r>
          </w:p>
        </w:tc>
        <w:tc>
          <w:tcPr>
            <w:tcW w:w="6163" w:type="dxa"/>
            <w:tcBorders>
              <w:top w:val="nil"/>
              <w:left w:val="nil"/>
              <w:bottom w:val="single" w:color="000000" w:sz="4" w:space="0"/>
              <w:right w:val="single" w:color="000000" w:sz="4" w:space="0"/>
            </w:tcBorders>
            <w:tcMar>
              <w:top w:w="1" w:type="dxa"/>
              <w:left w:w="1" w:type="dxa"/>
              <w:bottom w:w="1" w:type="dxa"/>
              <w:right w:w="1" w:type="dxa"/>
            </w:tcMar>
          </w:tcPr>
          <w:p w14:paraId="5E0A4617">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1、风机盘管（包括新风机组）：回风口及过滤网、回风箱、电机叶轮、叶轮箱、冷凝水盘、表冷器（翅片）、送风管道及风口等所有部件。</w:t>
            </w:r>
          </w:p>
          <w:p w14:paraId="2DC0770F">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2、风机盘管（包括新风机组）：必需进行全部拆卸清洗，拆除部件包括：电机、叶轮及叶轮箱，将表冷器彻底清洗干净，达到无污物附着物。</w:t>
            </w:r>
          </w:p>
          <w:p w14:paraId="1650A388">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3、表冷器的清洗：不得使用含有腐蚀性的清洗剂清洗，如果必需要清洗剂的，必需提供清洗剂产品无腐蚀性检测报告和安全认证证书（提供检测报告扫描件），否则禁止使用；</w:t>
            </w:r>
          </w:p>
          <w:p w14:paraId="4BE303EE">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4、风机盘管（包括新风机组、Y型过滤器）：必需全部拆洗，并对每台盘管内部系统进行反冲循环，将盘管内的污物全部清理出来（清洗前后必须拍照或录相）；</w:t>
            </w:r>
          </w:p>
          <w:p w14:paraId="09E499A5">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5、风机盘管（包括新风机组）：过程中不得损坏设备部件尤其是表冷器（翅片）不得有任何损坏，若抽查发现有表冷器（翅片）上面铝质散热片出现倒塌或者是断裂，均由中标人承担设备赔偿责任。</w:t>
            </w:r>
          </w:p>
          <w:p w14:paraId="29887386">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6、检修维修：施工过程对已经出现故障的风机盘管（包括新风机组）进行维修，材料及配件费用均由中标人负责提供，费用包含在投标总价内，采购人不再另行支付费用。</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6ECAAF56">
            <w:pPr>
              <w:pStyle w:val="10"/>
              <w:jc w:val="both"/>
              <w:rPr>
                <w:rFonts w:hint="eastAsia" w:ascii="宋体" w:hAnsi="宋体" w:eastAsia="宋体" w:cs="宋体"/>
                <w:sz w:val="24"/>
                <w:szCs w:val="24"/>
              </w:rPr>
            </w:pPr>
          </w:p>
        </w:tc>
      </w:tr>
      <w:tr w14:paraId="3DAE36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vMerge w:val="continue"/>
            <w:tcBorders>
              <w:top w:val="nil"/>
              <w:left w:val="single" w:color="000000" w:sz="4" w:space="0"/>
              <w:bottom w:val="single" w:color="000000" w:sz="4" w:space="0"/>
              <w:right w:val="single" w:color="000000" w:sz="4" w:space="0"/>
            </w:tcBorders>
          </w:tcPr>
          <w:p w14:paraId="4BD959BC">
            <w:pPr>
              <w:rPr>
                <w:rFonts w:hint="eastAsia" w:ascii="宋体" w:hAnsi="宋体" w:eastAsia="宋体" w:cs="宋体"/>
                <w:b w:val="0"/>
                <w:bCs/>
                <w:sz w:val="24"/>
                <w:szCs w:val="24"/>
              </w:rPr>
            </w:pPr>
          </w:p>
        </w:tc>
        <w:tc>
          <w:tcPr>
            <w:tcW w:w="791" w:type="dxa"/>
            <w:tcBorders>
              <w:top w:val="nil"/>
              <w:left w:val="nil"/>
              <w:bottom w:val="single" w:color="000000" w:sz="4" w:space="0"/>
              <w:right w:val="single" w:color="000000" w:sz="4" w:space="0"/>
            </w:tcBorders>
            <w:tcMar>
              <w:top w:w="1" w:type="dxa"/>
              <w:left w:w="1" w:type="dxa"/>
              <w:bottom w:w="1" w:type="dxa"/>
              <w:right w:w="1" w:type="dxa"/>
            </w:tcMar>
          </w:tcPr>
          <w:p w14:paraId="2882BD02">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清洗质量及验收达标标准</w:t>
            </w:r>
          </w:p>
        </w:tc>
        <w:tc>
          <w:tcPr>
            <w:tcW w:w="6163" w:type="dxa"/>
            <w:tcBorders>
              <w:top w:val="nil"/>
              <w:left w:val="nil"/>
              <w:bottom w:val="single" w:color="000000" w:sz="4" w:space="0"/>
              <w:right w:val="single" w:color="000000" w:sz="4" w:space="0"/>
            </w:tcBorders>
            <w:tcMar>
              <w:top w:w="1" w:type="dxa"/>
              <w:left w:w="1" w:type="dxa"/>
              <w:bottom w:w="1" w:type="dxa"/>
              <w:right w:w="1" w:type="dxa"/>
            </w:tcMar>
          </w:tcPr>
          <w:p w14:paraId="6553D139">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检查验收方式：进行全面检查验收，中标人必需配合。</w:t>
            </w:r>
          </w:p>
          <w:p w14:paraId="3DF0E687">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1、风机盘管（包括新风机组）必需保证：机组箱体内部、风口及过滤网、回风箱、风轮、风轮箱无灰尘和垃圾物。</w:t>
            </w:r>
          </w:p>
          <w:p w14:paraId="20A46EA2">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2、风机盘管（包括新风机组）表冷器（翅片）不得有灰尘及垃圾附着物，必需进行透光实验，无光线通过视为不合格。</w:t>
            </w:r>
          </w:p>
          <w:p w14:paraId="25705414">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3、清洗前后风量风速有明显改善，中标人需使用风速仪每台进行检测，检查方式：采购人抽检，凡抽检不合格，所有已经清洗的全部返工重新清洗。</w:t>
            </w:r>
          </w:p>
          <w:p w14:paraId="3DA8AF3D">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4、Y型过滤器必须全部拆卸清洗，清洗后全部进行复原，若在检查过程中发现有Y型过滤器有污垢堵塞，则进行全面返工。</w:t>
            </w:r>
          </w:p>
          <w:p w14:paraId="471FDDA2">
            <w:pPr>
              <w:pStyle w:val="10"/>
              <w:ind w:firstLine="241"/>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注：由第三方专业检测机构进行最终检测并出具检测报告。检测内容如下：</w:t>
            </w:r>
          </w:p>
          <w:p w14:paraId="1072A5FF">
            <w:pPr>
              <w:pStyle w:val="10"/>
              <w:ind w:firstLine="241"/>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（1）风管内表面卫生检测参考指标应达到以下要求：</w:t>
            </w:r>
          </w:p>
          <w:p w14:paraId="1A23B4E5">
            <w:pPr>
              <w:pStyle w:val="10"/>
              <w:ind w:firstLine="56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积尘残留量≤1.0g/m</w:t>
            </w:r>
            <w:r>
              <w:rPr>
                <w:rFonts w:hint="eastAsia" w:ascii="宋体" w:hAnsi="宋体" w:eastAsia="宋体" w:cs="宋体"/>
                <w:b w:val="0"/>
                <w:bCs/>
                <w:color w:val="000000"/>
                <w:sz w:val="24"/>
                <w:szCs w:val="24"/>
                <w:vertAlign w:val="superscript"/>
              </w:rPr>
              <w:t>2</w:t>
            </w:r>
            <w:r>
              <w:rPr>
                <w:rFonts w:hint="eastAsia" w:ascii="宋体" w:hAnsi="宋体" w:eastAsia="宋体" w:cs="宋体"/>
                <w:b w:val="0"/>
                <w:bCs/>
                <w:color w:val="000000"/>
                <w:sz w:val="24"/>
                <w:szCs w:val="24"/>
              </w:rPr>
              <w:t>；</w:t>
            </w:r>
          </w:p>
          <w:p w14:paraId="4097F553">
            <w:pPr>
              <w:pStyle w:val="10"/>
              <w:ind w:firstLine="56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细菌总数≤100CFU/cm</w:t>
            </w:r>
            <w:r>
              <w:rPr>
                <w:rFonts w:hint="eastAsia" w:ascii="宋体" w:hAnsi="宋体" w:eastAsia="宋体" w:cs="宋体"/>
                <w:b w:val="0"/>
                <w:bCs/>
                <w:color w:val="000000"/>
                <w:sz w:val="24"/>
                <w:szCs w:val="24"/>
                <w:vertAlign w:val="superscript"/>
              </w:rPr>
              <w:t>2</w:t>
            </w:r>
            <w:r>
              <w:rPr>
                <w:rFonts w:hint="eastAsia" w:ascii="宋体" w:hAnsi="宋体" w:eastAsia="宋体" w:cs="宋体"/>
                <w:b w:val="0"/>
                <w:bCs/>
                <w:color w:val="000000"/>
                <w:sz w:val="24"/>
                <w:szCs w:val="24"/>
              </w:rPr>
              <w:t>；</w:t>
            </w:r>
          </w:p>
          <w:p w14:paraId="405AC22E">
            <w:pPr>
              <w:pStyle w:val="10"/>
              <w:ind w:firstLine="56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真菌总数≤100CFU/cm</w:t>
            </w:r>
            <w:r>
              <w:rPr>
                <w:rFonts w:hint="eastAsia" w:ascii="宋体" w:hAnsi="宋体" w:eastAsia="宋体" w:cs="宋体"/>
                <w:b w:val="0"/>
                <w:bCs/>
                <w:color w:val="000000"/>
                <w:sz w:val="24"/>
                <w:szCs w:val="24"/>
                <w:vertAlign w:val="superscript"/>
              </w:rPr>
              <w:t>2</w:t>
            </w:r>
            <w:r>
              <w:rPr>
                <w:rFonts w:hint="eastAsia" w:ascii="宋体" w:hAnsi="宋体" w:eastAsia="宋体" w:cs="宋体"/>
                <w:b w:val="0"/>
                <w:bCs/>
                <w:color w:val="000000"/>
                <w:sz w:val="24"/>
                <w:szCs w:val="24"/>
              </w:rPr>
              <w:t>。</w:t>
            </w:r>
          </w:p>
          <w:p w14:paraId="63A07193">
            <w:pPr>
              <w:pStyle w:val="10"/>
              <w:ind w:firstLine="24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（2）消毒后其自然菌去除率应大于 90%，送风卫生检测参考指标应达到以下要求：</w:t>
            </w:r>
          </w:p>
          <w:p w14:paraId="2BD38D1E">
            <w:pPr>
              <w:pStyle w:val="10"/>
              <w:ind w:firstLine="56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可吸入颗粒物PM10≤0.08 mg/m</w:t>
            </w:r>
            <w:r>
              <w:rPr>
                <w:rFonts w:hint="eastAsia" w:ascii="宋体" w:hAnsi="宋体" w:eastAsia="宋体" w:cs="宋体"/>
                <w:b w:val="0"/>
                <w:bCs/>
                <w:color w:val="000000"/>
                <w:sz w:val="24"/>
                <w:szCs w:val="24"/>
                <w:vertAlign w:val="superscript"/>
              </w:rPr>
              <w:t>3</w:t>
            </w:r>
            <w:r>
              <w:rPr>
                <w:rFonts w:hint="eastAsia" w:ascii="宋体" w:hAnsi="宋体" w:eastAsia="宋体" w:cs="宋体"/>
                <w:b w:val="0"/>
                <w:bCs/>
                <w:color w:val="000000"/>
                <w:sz w:val="24"/>
                <w:szCs w:val="24"/>
              </w:rPr>
              <w:t>；</w:t>
            </w:r>
          </w:p>
          <w:p w14:paraId="428A845F">
            <w:pPr>
              <w:pStyle w:val="10"/>
              <w:ind w:firstLine="56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细菌总数≤500CFU/m</w:t>
            </w:r>
            <w:r>
              <w:rPr>
                <w:rFonts w:hint="eastAsia" w:ascii="宋体" w:hAnsi="宋体" w:eastAsia="宋体" w:cs="宋体"/>
                <w:b w:val="0"/>
                <w:bCs/>
                <w:color w:val="000000"/>
                <w:sz w:val="24"/>
                <w:szCs w:val="24"/>
                <w:vertAlign w:val="superscript"/>
              </w:rPr>
              <w:t>3</w:t>
            </w:r>
            <w:r>
              <w:rPr>
                <w:rFonts w:hint="eastAsia" w:ascii="宋体" w:hAnsi="宋体" w:eastAsia="宋体" w:cs="宋体"/>
                <w:b w:val="0"/>
                <w:bCs/>
                <w:color w:val="000000"/>
                <w:sz w:val="24"/>
                <w:szCs w:val="24"/>
              </w:rPr>
              <w:t>；</w:t>
            </w:r>
          </w:p>
          <w:p w14:paraId="4CBDF2C1">
            <w:pPr>
              <w:pStyle w:val="10"/>
              <w:ind w:firstLine="56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真菌总数≤500CFU/m</w:t>
            </w:r>
            <w:r>
              <w:rPr>
                <w:rFonts w:hint="eastAsia" w:ascii="宋体" w:hAnsi="宋体" w:eastAsia="宋体" w:cs="宋体"/>
                <w:b w:val="0"/>
                <w:bCs/>
                <w:color w:val="000000"/>
                <w:sz w:val="24"/>
                <w:szCs w:val="24"/>
                <w:vertAlign w:val="superscript"/>
              </w:rPr>
              <w:t>3</w:t>
            </w:r>
            <w:r>
              <w:rPr>
                <w:rFonts w:hint="eastAsia" w:ascii="宋体" w:hAnsi="宋体" w:eastAsia="宋体" w:cs="宋体"/>
                <w:b w:val="0"/>
                <w:bCs/>
                <w:color w:val="000000"/>
                <w:sz w:val="24"/>
                <w:szCs w:val="24"/>
              </w:rPr>
              <w:t>；</w:t>
            </w:r>
          </w:p>
          <w:p w14:paraId="35EAAB8C">
            <w:pPr>
              <w:pStyle w:val="10"/>
              <w:ind w:firstLine="56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溶血性链球菌等致病微生物不得检出。</w:t>
            </w:r>
          </w:p>
          <w:p w14:paraId="487839D5">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（费用包含在投标总价内，采购人不再另行支付费用。）</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500A8FB7">
            <w:pPr>
              <w:pStyle w:val="10"/>
              <w:jc w:val="both"/>
              <w:rPr>
                <w:rFonts w:hint="eastAsia" w:ascii="宋体" w:hAnsi="宋体" w:eastAsia="宋体" w:cs="宋体"/>
                <w:sz w:val="24"/>
                <w:szCs w:val="24"/>
              </w:rPr>
            </w:pPr>
          </w:p>
        </w:tc>
      </w:tr>
      <w:tr w14:paraId="68B738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tcBorders>
              <w:top w:val="nil"/>
              <w:left w:val="single" w:color="000000" w:sz="4" w:space="0"/>
              <w:bottom w:val="single" w:color="000000" w:sz="4" w:space="0"/>
              <w:right w:val="single" w:color="000000" w:sz="4" w:space="0"/>
            </w:tcBorders>
            <w:tcMar>
              <w:top w:w="1" w:type="dxa"/>
              <w:left w:w="1" w:type="dxa"/>
              <w:bottom w:w="1" w:type="dxa"/>
              <w:right w:w="1" w:type="dxa"/>
            </w:tcMar>
          </w:tcPr>
          <w:p w14:paraId="24241828">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风口及过滤网</w:t>
            </w:r>
          </w:p>
        </w:tc>
        <w:tc>
          <w:tcPr>
            <w:tcW w:w="791" w:type="dxa"/>
            <w:tcBorders>
              <w:top w:val="nil"/>
              <w:left w:val="nil"/>
              <w:bottom w:val="single" w:color="000000" w:sz="4" w:space="0"/>
              <w:right w:val="single" w:color="000000" w:sz="4" w:space="0"/>
            </w:tcBorders>
            <w:tcMar>
              <w:top w:w="1" w:type="dxa"/>
              <w:left w:w="1" w:type="dxa"/>
              <w:bottom w:w="1" w:type="dxa"/>
              <w:right w:w="1" w:type="dxa"/>
            </w:tcMar>
          </w:tcPr>
          <w:p w14:paraId="067DB915">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清洗质量及验收标准</w:t>
            </w:r>
          </w:p>
        </w:tc>
        <w:tc>
          <w:tcPr>
            <w:tcW w:w="6163" w:type="dxa"/>
            <w:tcBorders>
              <w:top w:val="nil"/>
              <w:left w:val="nil"/>
              <w:bottom w:val="single" w:color="000000" w:sz="4" w:space="0"/>
              <w:right w:val="single" w:color="000000" w:sz="4" w:space="0"/>
            </w:tcBorders>
            <w:tcMar>
              <w:top w:w="1" w:type="dxa"/>
              <w:left w:w="1" w:type="dxa"/>
              <w:bottom w:w="1" w:type="dxa"/>
              <w:right w:w="1" w:type="dxa"/>
            </w:tcMar>
          </w:tcPr>
          <w:p w14:paraId="69DFD699">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1、清洗后的滤网不得有灰尘和垃圾附着物；</w:t>
            </w:r>
          </w:p>
          <w:p w14:paraId="0A4840B0">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2、滤网通透无损坏，若有清洗损坏的，由中标人承担完全赔偿责任；</w:t>
            </w:r>
          </w:p>
          <w:p w14:paraId="198B25CE">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3、清洗后的滤网，用目测和触摸方式对清洗质量进行检查验收；</w:t>
            </w:r>
          </w:p>
          <w:p w14:paraId="5E3920D8">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注：凡有不合格一律返工清洗至合格为止。</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45146BE3">
            <w:pPr>
              <w:pStyle w:val="10"/>
              <w:jc w:val="both"/>
              <w:rPr>
                <w:rFonts w:hint="eastAsia" w:ascii="宋体" w:hAnsi="宋体" w:eastAsia="宋体" w:cs="宋体"/>
                <w:sz w:val="24"/>
                <w:szCs w:val="24"/>
              </w:rPr>
            </w:pPr>
          </w:p>
        </w:tc>
      </w:tr>
      <w:tr w14:paraId="23FB1D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tcBorders>
              <w:top w:val="nil"/>
              <w:left w:val="single" w:color="000000" w:sz="4" w:space="0"/>
              <w:bottom w:val="single" w:color="000000" w:sz="4" w:space="0"/>
              <w:right w:val="single" w:color="000000" w:sz="4" w:space="0"/>
            </w:tcBorders>
            <w:tcMar>
              <w:top w:w="1" w:type="dxa"/>
              <w:left w:w="1" w:type="dxa"/>
              <w:bottom w:w="1" w:type="dxa"/>
              <w:right w:w="1" w:type="dxa"/>
            </w:tcMar>
          </w:tcPr>
          <w:p w14:paraId="345CB57D">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冷冻水、冷却水管路系统、主机系统</w:t>
            </w:r>
          </w:p>
        </w:tc>
        <w:tc>
          <w:tcPr>
            <w:tcW w:w="791" w:type="dxa"/>
            <w:tcBorders>
              <w:top w:val="nil"/>
              <w:left w:val="nil"/>
              <w:bottom w:val="single" w:color="000000" w:sz="4" w:space="0"/>
              <w:right w:val="single" w:color="000000" w:sz="4" w:space="0"/>
            </w:tcBorders>
            <w:tcMar>
              <w:top w:w="1" w:type="dxa"/>
              <w:left w:w="1" w:type="dxa"/>
              <w:bottom w:w="1" w:type="dxa"/>
              <w:right w:w="1" w:type="dxa"/>
            </w:tcMar>
          </w:tcPr>
          <w:p w14:paraId="5F42CBB1">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清洗质量及验收标准</w:t>
            </w:r>
          </w:p>
        </w:tc>
        <w:tc>
          <w:tcPr>
            <w:tcW w:w="6163" w:type="dxa"/>
            <w:tcBorders>
              <w:top w:val="nil"/>
              <w:left w:val="nil"/>
              <w:bottom w:val="single" w:color="000000" w:sz="4" w:space="0"/>
              <w:right w:val="single" w:color="000000" w:sz="4" w:space="0"/>
            </w:tcBorders>
            <w:tcMar>
              <w:top w:w="1" w:type="dxa"/>
              <w:left w:w="1" w:type="dxa"/>
              <w:bottom w:w="1" w:type="dxa"/>
              <w:right w:w="1" w:type="dxa"/>
            </w:tcMar>
          </w:tcPr>
          <w:p w14:paraId="7DB7569C">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1、中标人在施工前，现场必需做药品腐蚀性实验，所使用清洗药品若对设备有腐蚀性，则不能使用；</w:t>
            </w:r>
          </w:p>
          <w:p w14:paraId="25E7909D">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2、清洗后，三个月以内如果设备出现因清洗药品腐蚀导致爆管、漏水等，一切损失由中标人承担；</w:t>
            </w:r>
          </w:p>
          <w:p w14:paraId="658FA75A">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3、主机清洗后必需还原蒸发器及冷凝器钢管本色，不得有污垢附着物存在（检查验收方式：中标人拆除机组两端盖，由采购人相关管理人员现场目测验收）；</w:t>
            </w:r>
          </w:p>
          <w:p w14:paraId="3790BA51">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4、循环水管路系统清洗，必需将Y型过滤器进行拆洗；</w:t>
            </w:r>
          </w:p>
          <w:p w14:paraId="22B1D0D1">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5、清洗后的循环水系统必需保证水质必须清亮，不得有混浊物在系统内存在（目测验收）。</w:t>
            </w:r>
          </w:p>
          <w:p w14:paraId="1293DF45">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注：成交供应商须确保清洗质量和清洗效果，清洗后的温差有明显改善，同时此项清洗验收合格以后，如果三个月内出现因中标人药品腐蚀问题导致的设备损坏等一切后果均由中标人承担。</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15213F28">
            <w:pPr>
              <w:pStyle w:val="10"/>
              <w:jc w:val="both"/>
              <w:rPr>
                <w:rFonts w:hint="eastAsia" w:ascii="宋体" w:hAnsi="宋体" w:eastAsia="宋体" w:cs="宋体"/>
                <w:sz w:val="24"/>
                <w:szCs w:val="24"/>
              </w:rPr>
            </w:pPr>
          </w:p>
        </w:tc>
      </w:tr>
      <w:tr w14:paraId="3FA975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tcBorders>
              <w:top w:val="nil"/>
              <w:left w:val="single" w:color="000000" w:sz="4" w:space="0"/>
              <w:bottom w:val="single" w:color="000000" w:sz="4" w:space="0"/>
              <w:right w:val="single" w:color="000000" w:sz="4" w:space="0"/>
            </w:tcBorders>
            <w:tcMar>
              <w:top w:w="1" w:type="dxa"/>
              <w:left w:w="1" w:type="dxa"/>
              <w:bottom w:w="1" w:type="dxa"/>
              <w:right w:w="1" w:type="dxa"/>
            </w:tcMar>
          </w:tcPr>
          <w:p w14:paraId="2E68C025">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冷却塔</w:t>
            </w:r>
          </w:p>
        </w:tc>
        <w:tc>
          <w:tcPr>
            <w:tcW w:w="791" w:type="dxa"/>
            <w:tcBorders>
              <w:top w:val="nil"/>
              <w:left w:val="nil"/>
              <w:bottom w:val="single" w:color="000000" w:sz="4" w:space="0"/>
              <w:right w:val="single" w:color="000000" w:sz="4" w:space="0"/>
            </w:tcBorders>
            <w:tcMar>
              <w:top w:w="1" w:type="dxa"/>
              <w:left w:w="1" w:type="dxa"/>
              <w:bottom w:w="1" w:type="dxa"/>
              <w:right w:w="1" w:type="dxa"/>
            </w:tcMar>
          </w:tcPr>
          <w:p w14:paraId="43DFCC32">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清洗质量及验收标准</w:t>
            </w:r>
          </w:p>
        </w:tc>
        <w:tc>
          <w:tcPr>
            <w:tcW w:w="6163" w:type="dxa"/>
            <w:tcBorders>
              <w:top w:val="nil"/>
              <w:left w:val="nil"/>
              <w:bottom w:val="single" w:color="000000" w:sz="4" w:space="0"/>
              <w:right w:val="single" w:color="000000" w:sz="4" w:space="0"/>
            </w:tcBorders>
            <w:tcMar>
              <w:top w:w="1" w:type="dxa"/>
              <w:left w:w="1" w:type="dxa"/>
              <w:bottom w:w="1" w:type="dxa"/>
              <w:right w:w="1" w:type="dxa"/>
            </w:tcMar>
          </w:tcPr>
          <w:p w14:paraId="2A13B645">
            <w:pPr>
              <w:pStyle w:val="10"/>
              <w:numPr>
                <w:ilvl w:val="0"/>
                <w:numId w:val="3"/>
              </w:numPr>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冷却塔清洗后，填料及水盘不得有泥垢及垃圾附着物存在，必需保持干净；</w:t>
            </w:r>
          </w:p>
          <w:p w14:paraId="0A7D58F7">
            <w:pPr>
              <w:pStyle w:val="10"/>
              <w:numPr>
                <w:ilvl w:val="0"/>
                <w:numId w:val="3"/>
              </w:numPr>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过滤器需要进行拆除清洗，清洗后无垃圾钙化物存在；</w:t>
            </w:r>
          </w:p>
          <w:p w14:paraId="6D6C01AB">
            <w:pPr>
              <w:pStyle w:val="10"/>
              <w:numPr>
                <w:ilvl w:val="0"/>
                <w:numId w:val="3"/>
              </w:numPr>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清洗后屋面清洁后不得有清洗遗留的垃圾等物品存在，必需保持屋面清洁。</w:t>
            </w:r>
          </w:p>
          <w:p w14:paraId="162BEFC0">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注：目测验收，若清洗不合格或者屋面卫生不彻底，必需返工。所清洗出的垃圾物由成交供应商自行清运处理。</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51EE70E4">
            <w:pPr>
              <w:pStyle w:val="10"/>
              <w:jc w:val="both"/>
              <w:rPr>
                <w:rFonts w:hint="eastAsia" w:ascii="宋体" w:hAnsi="宋体" w:eastAsia="宋体" w:cs="宋体"/>
                <w:sz w:val="24"/>
                <w:szCs w:val="24"/>
              </w:rPr>
            </w:pPr>
          </w:p>
        </w:tc>
      </w:tr>
      <w:tr w14:paraId="6FFBE5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vMerge w:val="restart"/>
            <w:tcBorders>
              <w:top w:val="nil"/>
              <w:left w:val="single" w:color="000000" w:sz="4" w:space="0"/>
              <w:bottom w:val="single" w:color="000000" w:sz="4" w:space="0"/>
              <w:right w:val="single" w:color="000000" w:sz="4" w:space="0"/>
            </w:tcBorders>
            <w:tcMar>
              <w:top w:w="1" w:type="dxa"/>
              <w:left w:w="1" w:type="dxa"/>
              <w:bottom w:w="1" w:type="dxa"/>
              <w:right w:w="1" w:type="dxa"/>
            </w:tcMar>
          </w:tcPr>
          <w:p w14:paraId="7EB3E997">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检测报告</w:t>
            </w:r>
          </w:p>
        </w:tc>
        <w:tc>
          <w:tcPr>
            <w:tcW w:w="6954" w:type="dxa"/>
            <w:gridSpan w:val="2"/>
            <w:tcBorders>
              <w:top w:val="nil"/>
              <w:left w:val="nil"/>
              <w:bottom w:val="single" w:color="000000" w:sz="4" w:space="0"/>
              <w:right w:val="single" w:color="000000" w:sz="4" w:space="0"/>
            </w:tcBorders>
            <w:tcMar>
              <w:top w:w="1" w:type="dxa"/>
              <w:left w:w="1" w:type="dxa"/>
              <w:bottom w:w="1" w:type="dxa"/>
              <w:right w:w="1" w:type="dxa"/>
            </w:tcMar>
          </w:tcPr>
          <w:p w14:paraId="1A31E7B7">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通风系统检测要求：清洗完成以后出具合格的检测报告。</w:t>
            </w:r>
          </w:p>
        </w:tc>
        <w:tc>
          <w:tcPr>
            <w:tcW w:w="1023" w:type="dxa"/>
            <w:vMerge w:val="restart"/>
            <w:tcBorders>
              <w:top w:val="nil"/>
              <w:left w:val="nil"/>
              <w:bottom w:val="single" w:color="000000" w:sz="4" w:space="0"/>
              <w:right w:val="single" w:color="000000" w:sz="4" w:space="0"/>
            </w:tcBorders>
            <w:tcMar>
              <w:top w:w="1" w:type="dxa"/>
              <w:left w:w="1" w:type="dxa"/>
              <w:bottom w:w="1" w:type="dxa"/>
              <w:right w:w="1" w:type="dxa"/>
            </w:tcMar>
          </w:tcPr>
          <w:p w14:paraId="1BFDED9D">
            <w:pPr>
              <w:pStyle w:val="10"/>
              <w:jc w:val="both"/>
              <w:rPr>
                <w:rFonts w:hint="eastAsia" w:ascii="宋体" w:hAnsi="宋体" w:eastAsia="宋体" w:cs="宋体"/>
                <w:sz w:val="24"/>
                <w:szCs w:val="24"/>
              </w:rPr>
            </w:pPr>
          </w:p>
        </w:tc>
      </w:tr>
      <w:tr w14:paraId="21B731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vMerge w:val="continue"/>
            <w:tcBorders>
              <w:top w:val="nil"/>
              <w:left w:val="single" w:color="000000" w:sz="4" w:space="0"/>
              <w:bottom w:val="single" w:color="000000" w:sz="4" w:space="0"/>
              <w:right w:val="single" w:color="000000" w:sz="4" w:space="0"/>
            </w:tcBorders>
          </w:tcPr>
          <w:p w14:paraId="5EFD3FED">
            <w:pPr>
              <w:rPr>
                <w:rFonts w:hint="eastAsia" w:ascii="宋体" w:hAnsi="宋体" w:eastAsia="宋体" w:cs="宋体"/>
                <w:b w:val="0"/>
                <w:bCs/>
                <w:sz w:val="24"/>
                <w:szCs w:val="24"/>
              </w:rPr>
            </w:pPr>
          </w:p>
        </w:tc>
        <w:tc>
          <w:tcPr>
            <w:tcW w:w="6954" w:type="dxa"/>
            <w:gridSpan w:val="2"/>
            <w:tcBorders>
              <w:top w:val="nil"/>
              <w:left w:val="nil"/>
              <w:bottom w:val="single" w:color="000000" w:sz="4" w:space="0"/>
              <w:right w:val="single" w:color="000000" w:sz="4" w:space="0"/>
            </w:tcBorders>
            <w:tcMar>
              <w:top w:w="1" w:type="dxa"/>
              <w:left w:w="1" w:type="dxa"/>
              <w:bottom w:w="1" w:type="dxa"/>
              <w:right w:w="1" w:type="dxa"/>
            </w:tcMar>
          </w:tcPr>
          <w:p w14:paraId="78402037">
            <w:pPr>
              <w:pStyle w:val="10"/>
              <w:jc w:val="both"/>
              <w:rPr>
                <w:rFonts w:hint="eastAsia" w:ascii="宋体" w:hAnsi="宋体" w:eastAsia="宋体" w:cs="宋体"/>
                <w:b w:val="0"/>
                <w:bCs/>
                <w:sz w:val="24"/>
                <w:szCs w:val="24"/>
              </w:rPr>
            </w:pPr>
            <w:r>
              <w:rPr>
                <w:rFonts w:hint="eastAsia" w:ascii="宋体" w:hAnsi="宋体" w:eastAsia="宋体" w:cs="宋体"/>
                <w:b w:val="0"/>
                <w:bCs/>
                <w:color w:val="000000"/>
                <w:sz w:val="24"/>
                <w:szCs w:val="24"/>
              </w:rPr>
              <w:t>循环水系统（军团菌）检测报告要求：清洗完成以后出具水质检测报告。</w:t>
            </w:r>
          </w:p>
        </w:tc>
        <w:tc>
          <w:tcPr>
            <w:tcW w:w="1023" w:type="dxa"/>
            <w:vMerge w:val="continue"/>
            <w:tcBorders>
              <w:top w:val="nil"/>
              <w:left w:val="nil"/>
              <w:bottom w:val="single" w:color="000000" w:sz="4" w:space="0"/>
              <w:right w:val="single" w:color="000000" w:sz="4" w:space="0"/>
            </w:tcBorders>
          </w:tcPr>
          <w:p w14:paraId="066820E6">
            <w:pPr>
              <w:rPr>
                <w:rFonts w:hint="eastAsia" w:ascii="宋体" w:hAnsi="宋体" w:eastAsia="宋体" w:cs="宋体"/>
                <w:sz w:val="24"/>
                <w:szCs w:val="24"/>
              </w:rPr>
            </w:pPr>
          </w:p>
        </w:tc>
      </w:tr>
      <w:tr w14:paraId="32457C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1" w:type="dxa"/>
            <w:tcBorders>
              <w:top w:val="nil"/>
              <w:left w:val="single" w:color="000000" w:sz="4" w:space="0"/>
              <w:bottom w:val="single" w:color="000000" w:sz="4" w:space="0"/>
              <w:right w:val="single" w:color="000000" w:sz="4" w:space="0"/>
            </w:tcBorders>
            <w:tcMar>
              <w:top w:w="1" w:type="dxa"/>
              <w:left w:w="1" w:type="dxa"/>
              <w:bottom w:w="1" w:type="dxa"/>
              <w:right w:w="1" w:type="dxa"/>
            </w:tcMar>
          </w:tcPr>
          <w:p w14:paraId="70AD02D4">
            <w:pPr>
              <w:pStyle w:val="10"/>
              <w:jc w:val="center"/>
              <w:rPr>
                <w:rFonts w:hint="eastAsia" w:ascii="宋体" w:hAnsi="宋体" w:eastAsia="宋体" w:cs="宋体"/>
                <w:b w:val="0"/>
                <w:bCs/>
                <w:sz w:val="24"/>
                <w:szCs w:val="24"/>
              </w:rPr>
            </w:pPr>
            <w:r>
              <w:rPr>
                <w:rFonts w:hint="eastAsia" w:ascii="宋体" w:hAnsi="宋体" w:eastAsia="宋体" w:cs="宋体"/>
                <w:b w:val="0"/>
                <w:bCs/>
                <w:color w:val="000000"/>
                <w:sz w:val="24"/>
                <w:szCs w:val="24"/>
              </w:rPr>
              <w:t>消毒药剂</w:t>
            </w:r>
          </w:p>
        </w:tc>
        <w:tc>
          <w:tcPr>
            <w:tcW w:w="6954" w:type="dxa"/>
            <w:gridSpan w:val="2"/>
            <w:tcBorders>
              <w:top w:val="nil"/>
              <w:left w:val="nil"/>
              <w:bottom w:val="single" w:color="000000" w:sz="4" w:space="0"/>
              <w:right w:val="single" w:color="000000" w:sz="4" w:space="0"/>
            </w:tcBorders>
            <w:tcMar>
              <w:top w:w="1" w:type="dxa"/>
              <w:left w:w="1" w:type="dxa"/>
              <w:bottom w:w="1" w:type="dxa"/>
              <w:right w:w="1" w:type="dxa"/>
            </w:tcMar>
          </w:tcPr>
          <w:p w14:paraId="405EBE7E">
            <w:pPr>
              <w:pStyle w:val="10"/>
              <w:jc w:val="left"/>
              <w:rPr>
                <w:rFonts w:hint="eastAsia" w:ascii="宋体" w:hAnsi="宋体" w:eastAsia="宋体" w:cs="宋体"/>
                <w:b w:val="0"/>
                <w:bCs/>
                <w:sz w:val="24"/>
                <w:szCs w:val="24"/>
              </w:rPr>
            </w:pPr>
            <w:r>
              <w:rPr>
                <w:rFonts w:hint="eastAsia" w:ascii="宋体" w:hAnsi="宋体" w:eastAsia="宋体" w:cs="宋体"/>
                <w:b w:val="0"/>
                <w:bCs/>
                <w:color w:val="000000"/>
                <w:sz w:val="24"/>
                <w:szCs w:val="24"/>
              </w:rPr>
              <w:t>采用专用清洗剂和消毒剂，并提供消毒检测报告，提供清洗剂检测报告、安全数据报告。（单独提供承诺函或相关报告）</w:t>
            </w:r>
          </w:p>
        </w:tc>
        <w:tc>
          <w:tcPr>
            <w:tcW w:w="1023" w:type="dxa"/>
            <w:tcBorders>
              <w:top w:val="nil"/>
              <w:left w:val="nil"/>
              <w:bottom w:val="single" w:color="000000" w:sz="4" w:space="0"/>
              <w:right w:val="single" w:color="000000" w:sz="4" w:space="0"/>
            </w:tcBorders>
            <w:tcMar>
              <w:top w:w="1" w:type="dxa"/>
              <w:left w:w="1" w:type="dxa"/>
              <w:bottom w:w="1" w:type="dxa"/>
              <w:right w:w="1" w:type="dxa"/>
            </w:tcMar>
          </w:tcPr>
          <w:p w14:paraId="5F95020F">
            <w:pPr>
              <w:pStyle w:val="10"/>
              <w:jc w:val="both"/>
              <w:rPr>
                <w:rFonts w:hint="eastAsia" w:ascii="宋体" w:hAnsi="宋体" w:eastAsia="宋体" w:cs="宋体"/>
                <w:sz w:val="24"/>
                <w:szCs w:val="24"/>
              </w:rPr>
            </w:pPr>
          </w:p>
        </w:tc>
      </w:tr>
    </w:tbl>
    <w:p w14:paraId="4594AEFA">
      <w:pPr>
        <w:pStyle w:val="10"/>
        <w:pageBreakBefore w:val="0"/>
        <w:numPr>
          <w:ilvl w:val="0"/>
          <w:numId w:val="0"/>
        </w:numPr>
        <w:kinsoku/>
        <w:wordWrap/>
        <w:overflowPunct/>
        <w:topLinePunct w:val="0"/>
        <w:autoSpaceDE/>
        <w:autoSpaceDN/>
        <w:bidi w:val="0"/>
        <w:adjustRightInd/>
        <w:snapToGrid/>
        <w:spacing w:line="400" w:lineRule="exact"/>
        <w:ind w:firstLine="482" w:firstLineChars="200"/>
        <w:jc w:val="both"/>
        <w:textAlignment w:val="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7、</w:t>
      </w:r>
      <w:r>
        <w:rPr>
          <w:rFonts w:hint="eastAsia" w:ascii="宋体" w:hAnsi="宋体" w:eastAsia="宋体" w:cs="宋体"/>
          <w:b/>
          <w:bCs/>
          <w:color w:val="000000"/>
          <w:sz w:val="24"/>
          <w:szCs w:val="24"/>
        </w:rPr>
        <w:t>安全</w:t>
      </w:r>
      <w:r>
        <w:rPr>
          <w:rFonts w:hint="eastAsia" w:ascii="宋体" w:hAnsi="宋体" w:eastAsia="宋体" w:cs="宋体"/>
          <w:b/>
          <w:bCs/>
          <w:color w:val="000000"/>
          <w:sz w:val="24"/>
          <w:szCs w:val="24"/>
          <w:lang w:eastAsia="zh-CN"/>
        </w:rPr>
        <w:t>服务</w:t>
      </w:r>
      <w:r>
        <w:rPr>
          <w:rFonts w:hint="eastAsia" w:ascii="宋体" w:hAnsi="宋体" w:eastAsia="宋体" w:cs="宋体"/>
          <w:b/>
          <w:bCs/>
          <w:color w:val="000000"/>
          <w:sz w:val="24"/>
          <w:szCs w:val="24"/>
        </w:rPr>
        <w:t>要求：</w:t>
      </w:r>
    </w:p>
    <w:p w14:paraId="7B5BA6BF">
      <w:pPr>
        <w:pStyle w:val="10"/>
        <w:pageBreakBefore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成交供应商必须严格遵守安全制度，采取有效措施保证清洗施工人员及建筑物内人员的安全，确保清洗施工的顺利完成。如因施工所造成的人员伤亡</w:t>
      </w:r>
      <w:r>
        <w:rPr>
          <w:rFonts w:hint="eastAsia" w:ascii="宋体" w:hAnsi="宋体" w:eastAsia="宋体" w:cs="宋体"/>
          <w:color w:val="000000"/>
          <w:sz w:val="24"/>
          <w:szCs w:val="24"/>
          <w:lang w:eastAsia="zh-CN"/>
        </w:rPr>
        <w:t>以及</w:t>
      </w:r>
      <w:r>
        <w:rPr>
          <w:rFonts w:hint="eastAsia" w:ascii="宋体" w:hAnsi="宋体" w:eastAsia="宋体" w:cs="宋体"/>
          <w:color w:val="000000"/>
          <w:sz w:val="24"/>
          <w:szCs w:val="24"/>
        </w:rPr>
        <w:t>设备、设施的损坏，均由成交供应商自行负责赔偿。</w:t>
      </w:r>
      <w:r>
        <w:rPr>
          <w:rFonts w:hint="eastAsia" w:ascii="宋体" w:hAnsi="宋体" w:eastAsia="宋体" w:cs="宋体"/>
          <w:b w:val="0"/>
          <w:bCs/>
          <w:color w:val="000000"/>
          <w:sz w:val="24"/>
          <w:szCs w:val="24"/>
        </w:rPr>
        <w:t>（单独提供安全承诺函）</w:t>
      </w:r>
    </w:p>
    <w:p w14:paraId="256332BF">
      <w:pPr>
        <w:pStyle w:val="10"/>
        <w:pageBreakBefore w:val="0"/>
        <w:kinsoku/>
        <w:wordWrap/>
        <w:overflowPunct/>
        <w:topLinePunct w:val="0"/>
        <w:autoSpaceDE/>
        <w:autoSpaceDN/>
        <w:bidi w:val="0"/>
        <w:adjustRightInd/>
        <w:snapToGrid/>
        <w:spacing w:line="400" w:lineRule="exact"/>
        <w:ind w:firstLine="482"/>
        <w:jc w:val="both"/>
        <w:textAlignment w:val="auto"/>
        <w:outlineLvl w:val="1"/>
        <w:rPr>
          <w:rFonts w:hint="eastAsia" w:ascii="宋体" w:hAnsi="宋体" w:eastAsia="宋体" w:cs="宋体"/>
          <w:sz w:val="24"/>
          <w:szCs w:val="24"/>
        </w:rPr>
      </w:pPr>
      <w:r>
        <w:rPr>
          <w:rFonts w:hint="eastAsia" w:ascii="宋体" w:hAnsi="宋体" w:eastAsia="宋体" w:cs="宋体"/>
          <w:b/>
          <w:color w:val="000000"/>
          <w:sz w:val="24"/>
          <w:szCs w:val="24"/>
          <w:lang w:val="en-US" w:eastAsia="zh-CN"/>
        </w:rPr>
        <w:t>8</w:t>
      </w:r>
      <w:r>
        <w:rPr>
          <w:rFonts w:hint="eastAsia" w:ascii="宋体" w:hAnsi="宋体" w:eastAsia="宋体" w:cs="宋体"/>
          <w:b/>
          <w:color w:val="000000"/>
          <w:sz w:val="24"/>
          <w:szCs w:val="24"/>
        </w:rPr>
        <w:t>、巡查要求</w:t>
      </w:r>
    </w:p>
    <w:p w14:paraId="1DB153D0">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1、空调日常巡查要求</w:t>
      </w:r>
    </w:p>
    <w:p w14:paraId="23DA87A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1.1中央空调冷冻机组日巡查内容</w:t>
      </w:r>
    </w:p>
    <w:p w14:paraId="4F84B3E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查压缩机冷冻油的油压及油量，电压、电流、吸排气压力等、系统探漏（制冷剂），发现漏点及时处理；</w:t>
      </w:r>
    </w:p>
    <w:p w14:paraId="2919CD84">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检查有无不正常的声响、震动及高温；</w:t>
      </w:r>
    </w:p>
    <w:p w14:paraId="59520695">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(3)检查冷凝器及冷却器的温度、压力；</w:t>
      </w:r>
    </w:p>
    <w:p w14:paraId="08ADDDAD">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(4）检查各种阀门是否正常；</w:t>
      </w:r>
    </w:p>
    <w:p w14:paraId="0D94F2D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(5)检查冷水机出入水的温度及压力；</w:t>
      </w:r>
    </w:p>
    <w:p w14:paraId="18F74E3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(6)检查主电路上接线端子并有烧焦现场；</w:t>
      </w:r>
    </w:p>
    <w:p w14:paraId="79C4860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(7)检查电气控制部分有无异常；检查各仪表、控制器的工作状态；</w:t>
      </w:r>
    </w:p>
    <w:p w14:paraId="799FF3F3">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（8）冷却塔运转是否正常；</w:t>
      </w:r>
    </w:p>
    <w:p w14:paraId="270B029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1.2中央空调锅炉设备日常维护保养内容</w:t>
      </w:r>
    </w:p>
    <w:p w14:paraId="15E47FE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（1）检查主要设备（锅炉、水泵、风机）运行参数是否在预定范围内。</w:t>
      </w:r>
    </w:p>
    <w:p w14:paraId="3ADDEB3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（2）检查温度设置、设备运行电流、设备运行声音是否正常。</w:t>
      </w:r>
    </w:p>
    <w:p w14:paraId="160B78EC">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（3）通过观火孔检查锅炉燃烧情况；</w:t>
      </w:r>
    </w:p>
    <w:p w14:paraId="026417C5">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（4）检测燃气管道是否有漏气现象。</w:t>
      </w:r>
    </w:p>
    <w:p w14:paraId="067D91B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（5）所有冷热水管网，柔性连接、截止阀等是否有滴漏现象。</w:t>
      </w:r>
    </w:p>
    <w:p w14:paraId="3949D2EC">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1.3净化空调日常巡查</w:t>
      </w:r>
      <w:r>
        <w:rPr>
          <w:rFonts w:hint="eastAsia" w:ascii="宋体" w:hAnsi="宋体" w:eastAsia="宋体" w:cs="宋体"/>
          <w:color w:val="000000"/>
          <w:sz w:val="24"/>
          <w:szCs w:val="24"/>
          <w:lang w:eastAsia="zh-CN"/>
        </w:rPr>
        <w:t>内容</w:t>
      </w:r>
    </w:p>
    <w:p w14:paraId="276DB734">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（1）制冷剂循环系统检查：检查机组吸气压力、制冷剂蒸发温度是否正常；检查机组排气压力、排气温度和制冷剂冷凝温度是否正常。</w:t>
      </w:r>
    </w:p>
    <w:p w14:paraId="6C56386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（2）检查机组各保护控制装置并对各保护参数进行校对、调整。</w:t>
      </w:r>
    </w:p>
    <w:p w14:paraId="5F3C57C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（3）检查压缩机、风机电机的运行情况，并检测其线圈绝缘情况。</w:t>
      </w:r>
    </w:p>
    <w:p w14:paraId="7F6F301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（4）检查机组各电磁阀、膨胀阀的运行情况。</w:t>
      </w:r>
    </w:p>
    <w:p w14:paraId="20F0CD3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（5）检查并清理电路的各接触器、继电器及微电脑控制系统。</w:t>
      </w:r>
    </w:p>
    <w:p w14:paraId="149BCDF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（6）检查冷凝风机运转情况， 检查及清理翅片积尘。</w:t>
      </w:r>
    </w:p>
    <w:p w14:paraId="12FE23E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（7）检查机组压缩机电机的工作电压、电流及工作温度是否正常。</w:t>
      </w:r>
    </w:p>
    <w:p w14:paraId="00FB27D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2、周巡查要求</w:t>
      </w:r>
    </w:p>
    <w:p w14:paraId="0E5BE22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2.1中央空调冷冻机组周巡查内容</w:t>
      </w:r>
    </w:p>
    <w:p w14:paraId="318327B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（1）检查冷冻水水处理设备是否正常，检查冷冻水水质处理药剂是否准备充足。</w:t>
      </w:r>
    </w:p>
    <w:p w14:paraId="50EDF17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（2）检查冷却水水处理设备是否正常，检查冷却水水质处理药剂是否准备充足。</w:t>
      </w:r>
    </w:p>
    <w:p w14:paraId="76F5B7C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（3）检查各转换阀门是否转换到制冷状态，检查各电磁阀是否工作正常，检查各水流开关是否工作正常，检查各传感器是否工作正常。</w:t>
      </w:r>
    </w:p>
    <w:p w14:paraId="33625FBD">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（4）公共区域盘管回风滤网，每周巡查</w:t>
      </w:r>
    </w:p>
    <w:p w14:paraId="1765319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（5）检查运行噪音及振动情况</w:t>
      </w:r>
    </w:p>
    <w:p w14:paraId="5BC01FC5">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2.2中央空调锅炉设备周维护保养内容</w:t>
      </w:r>
    </w:p>
    <w:p w14:paraId="31143BB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（1）各种阀门、管接头、法兰垫圈是否泄漏</w:t>
      </w:r>
    </w:p>
    <w:p w14:paraId="0A028EBC">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（2）电控操作:常压(间接式)热水机组配有专门的电控柜或箱,对机组设置了压力控制和温度控制的双重保护,对机组燃烧机的控制，运行前应对电控箱内设备及保护装置进行检测与保养。</w:t>
      </w:r>
    </w:p>
    <w:p w14:paraId="2D76D8E5">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（3）检查燃气是否有泄漏、燃气压力是否符合要求，润滑是否符合标准。</w:t>
      </w:r>
    </w:p>
    <w:p w14:paraId="39ECBC0B">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（4）检查锅炉各种运行参数，检查燃烧器工作是否正常。</w:t>
      </w:r>
    </w:p>
    <w:p w14:paraId="5F2BDC7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2.3净化空调周巡查</w:t>
      </w:r>
    </w:p>
    <w:p w14:paraId="7785755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（1）检查机组各电磁阀、膨胀阀的运行情况。</w:t>
      </w:r>
    </w:p>
    <w:p w14:paraId="7BAE329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（2）检查并清理电路的各接触器、继电器及微电脑控制系统。</w:t>
      </w:r>
    </w:p>
    <w:p w14:paraId="66A19ECB">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（3）检查冷凝风机运转情况， 检查及清理翅片积尘。</w:t>
      </w:r>
    </w:p>
    <w:p w14:paraId="2589AB72">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（4）检查机组压缩机电机的工作电压、电流及工作温度是否正常。</w:t>
      </w:r>
    </w:p>
    <w:p w14:paraId="57887C9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2.4中央空调冷冻机组月巡查内容</w:t>
      </w:r>
    </w:p>
    <w:p w14:paraId="2847707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（1）查压缩机冷冻油的油压及油量，电压、电流、吸排气压力等、系统探漏（制冷剂），发现漏点及时处理；</w:t>
      </w:r>
    </w:p>
    <w:p w14:paraId="6854B37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（2）检查主电路上接线端子并有无松动压实；</w:t>
      </w:r>
    </w:p>
    <w:p w14:paraId="12401342">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（3）检查电气控制部分有无异常；检查各仪表、控制器的工作状态；</w:t>
      </w:r>
    </w:p>
    <w:p w14:paraId="79FE0D5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（4）检查机组润滑系统机油是否充足；</w:t>
      </w:r>
    </w:p>
    <w:p w14:paraId="04D03B05">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（5）检查压缩机冷冻油的油压及油量，必要时进行冷冻油更换及补充压缩机机电绝缘情况；</w:t>
      </w:r>
    </w:p>
    <w:p w14:paraId="69F48A10">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3、月巡查要求</w:t>
      </w:r>
    </w:p>
    <w:p w14:paraId="7DE1D6D3">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3.1中央空调锅炉设备月维护保养内容</w:t>
      </w:r>
    </w:p>
    <w:p w14:paraId="3A4670C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（1）点火棒用干净教布轻轻擦去灰污。</w:t>
      </w:r>
    </w:p>
    <w:p w14:paraId="6073DA6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（2）电眼:用柔软洁净布擦去光电孔处灰污。</w:t>
      </w:r>
    </w:p>
    <w:p w14:paraId="7AFCF71C">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（3）喷嘴:拆开喷嘴用煤油或溶剂清洗。</w:t>
      </w:r>
    </w:p>
    <w:p w14:paraId="164BBD5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（4）滤清器:拆开滤清器用煤油清洗。</w:t>
      </w:r>
    </w:p>
    <w:p w14:paraId="4E1F083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（5）稳焰器:用干净软布轻轻擦去灰污。</w:t>
      </w:r>
    </w:p>
    <w:p w14:paraId="5B75B4F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（6）油泵过滤器:取出泵内过滤器用煤油清洗。</w:t>
      </w:r>
    </w:p>
    <w:p w14:paraId="3DFA4C1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（7）根据选用的燃料品种质量或牌号,调节燃烧机风门,改变空气量 调节到烟窗无烟状。如有黑烟,说明供气不足,应调大风门；如有白烟 或火焰不稳,说明供气过大,应调小风门。</w:t>
      </w:r>
    </w:p>
    <w:p w14:paraId="18EF9C64">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3.2净化空调月巡查</w:t>
      </w:r>
    </w:p>
    <w:p w14:paraId="5DC5D114">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（1）检查风机电机轴承运行情况，添加润滑油，必要时进行更换。</w:t>
      </w:r>
    </w:p>
    <w:p w14:paraId="1695C51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（2）检查风机电机绝缘情况；检查电机电源及各接线端是否松动、电机各相电流。</w:t>
      </w:r>
    </w:p>
    <w:p w14:paraId="7918D8D4">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（3）检查并调整风机皮带松紧程度， 必要时进行更换。</w:t>
      </w:r>
    </w:p>
    <w:p w14:paraId="1045D20D">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（4）检查、调整风机运行的震动及噪音是否正常。</w:t>
      </w:r>
    </w:p>
    <w:p w14:paraId="50B65DD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（5）检查加湿器桶内的结垢情况和电极的腐蚀状态，必要时进行维修或更换。</w:t>
      </w:r>
    </w:p>
    <w:p w14:paraId="1C7ABA04">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4、季度巡查要求</w:t>
      </w:r>
    </w:p>
    <w:p w14:paraId="542417F5">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4.1中央空调冷冻机组季度巡查内容</w:t>
      </w:r>
    </w:p>
    <w:p w14:paraId="13B93EF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（1）检查螺杆机、离心机组制冷剂是否有泄漏、制冷剂压力是否符合要求，检查螺杆机、离心机组润滑油、润滑脂是否符合标准。</w:t>
      </w:r>
    </w:p>
    <w:p w14:paraId="7AB58B10">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（2）检查制冷机组各种运行参数。</w:t>
      </w:r>
    </w:p>
    <w:p w14:paraId="5579881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冷冻水、冷却水水质是否符合要求，包括水质的ph值，硬度、浊度、碱度、电导率应符合要求，并对水质情况定期进行检测；在换季后，制冷设备开始运行前，应在冷冻水、冷却水排水口排掉冷冻水、冷却水，直到排水口没有杂质排出为止。</w:t>
      </w:r>
    </w:p>
    <w:p w14:paraId="7712D0D2">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4.2中央空调锅炉机组季度巡查内容</w:t>
      </w:r>
    </w:p>
    <w:p w14:paraId="357CC0CB">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（1）各种阀门、管接头、法兰垫圈泄漏要及时检修。</w:t>
      </w:r>
    </w:p>
    <w:p w14:paraId="09EEAF72">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（2）常压(间接式)机组投入运行前应洗炉,其步骤是:启开进水阀, 关闭排水闻,使炉内充满水；再关闭进水阔,启开排水阔将炉内杂质排出,如发现锈水应反复上水冲洗或者煮炉直至合格。⑥检查热水循环系统是否正常，检查各管道、阀门是否有渗漏，压力表指示压力是否正常，温度表是否显示准确，各区域流量是否在正常范围内。</w:t>
      </w:r>
    </w:p>
    <w:p w14:paraId="686740DD">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（3）检查各转换阀门是否转换到制热状态，检查各电磁阀是否工作正常，检查各水流开关是否工作正常，检查各传感器是否工作正常。</w:t>
      </w:r>
    </w:p>
    <w:p w14:paraId="22D6707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（4）检查板换表面是否清洁，有无渗漏。</w:t>
      </w:r>
    </w:p>
    <w:p w14:paraId="29CB39B3">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4.3净化空调季度巡查</w:t>
      </w:r>
    </w:p>
    <w:p w14:paraId="25939DF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（1）检查中央空调系统的新风管、送风管、回风管是否存在漏风、脱落的情况，如有及时处理。</w:t>
      </w:r>
    </w:p>
    <w:p w14:paraId="75237F4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（2）检查中央空调系统的新风管、送风管、回风管的固定情况，对有松脱、震动、异响的风管及时处理。</w:t>
      </w:r>
    </w:p>
    <w:p w14:paraId="7A873003">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5、年度巡查要求</w:t>
      </w:r>
    </w:p>
    <w:p w14:paraId="4F9CFBB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5.1中央空调冷冻机组年度巡查内容</w:t>
      </w:r>
    </w:p>
    <w:p w14:paraId="5C4809D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（1）用500Ｖ摇表检测电机绝缘电阻应不低于0.5MΩ,否则应干燥处理电机线圈，干燥处理后仍达不到0.5MΩ以上时则应拆修电机线圈。</w:t>
      </w:r>
    </w:p>
    <w:p w14:paraId="629D21B2">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（2）检查电机、风扇是否转动灵活，如有阻滞现象则应加注润滑油；如有异常磨擦声则应更换同型号规格的轴承。</w:t>
      </w:r>
    </w:p>
    <w:p w14:paraId="777F753E">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停机期间，每年一次进行下列各项检查，以便能正确评价设备的状态，为下一个运行季节作好准备：</w:t>
      </w:r>
    </w:p>
    <w:p w14:paraId="0C89C7E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A检查冷水机组的安全阀，制冷季节完成后冬季停机保养期间，关闭安全阀以免制冷剂泄漏。</w:t>
      </w:r>
    </w:p>
    <w:p w14:paraId="19B5974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B检查油路系统，制冷季节完成后冬季停机保养期间，关闭油路系统以免润滑油泄漏。</w:t>
      </w:r>
    </w:p>
    <w:p w14:paraId="3C13EA2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C检查压缩机-电机组件的下列各项，完成预防性保养的各项任务：</w:t>
      </w:r>
    </w:p>
    <w:p w14:paraId="086D1BE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用兆欧表测量和记录电机绕阻的绝缘电阻；检查润滑开式电机；检查开式电机驱动装置的定位状态；检查联轴器；检查密封情况；检查滑阀校正，润滑需要润滑的部位。</w:t>
      </w:r>
    </w:p>
    <w:p w14:paraId="24BE16F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D检查压缩机润滑油系统的下列各项：</w:t>
      </w:r>
    </w:p>
    <w:p w14:paraId="0C687EF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根据需要更换润滑油、油过滤器和干燥过滤器；检查油泵、密封和油泵电机；清洁排污管；检查加热器和恒温器；检查所有其它的油系统部件，如油冷却器、过滤器和电磁阀等。</w:t>
      </w:r>
    </w:p>
    <w:p w14:paraId="284EE85B">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E执行下列各项操作，检查电机启动器：</w:t>
      </w:r>
    </w:p>
    <w:p w14:paraId="00D8C39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执行诊断检查程序；清洁接触器或必要时建议更换；检查连接机构；检查所有接线端，并拧紧；检查过载装置，并取油样检查；空载运行启动器（或在启动前）；检查状态指示灯。</w:t>
      </w:r>
    </w:p>
    <w:p w14:paraId="559C2FA4">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F检查控制面板，确定下列各项：</w:t>
      </w:r>
    </w:p>
    <w:p w14:paraId="4C112C12">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执行诊断检查程序；检查安全停机运行状态；检查所有接线端，并拧紧；检查显示数据的精度和设定值。</w:t>
      </w:r>
    </w:p>
    <w:p w14:paraId="08362286">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G检查冷凝器、蒸发器的下列各项：</w:t>
      </w:r>
    </w:p>
    <w:p w14:paraId="46ECD4D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检查水流量；检查水流开关的控制情况；根据运行记录参数分析热交换效果，建议水质处理；必要时拆卸端盖，更换密封垫。</w:t>
      </w:r>
    </w:p>
    <w:p w14:paraId="74EC097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H检查系统的下列各项：</w:t>
      </w:r>
    </w:p>
    <w:p w14:paraId="5567B1AB">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进行泄漏检查，找出泄漏处并进行修理；按要求补充制冷剂；记录视液镜的状态；检查制冷剂循环，确认处于正常平衡状态。</w:t>
      </w:r>
    </w:p>
    <w:p w14:paraId="714E9D4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5.2锅炉年度巡查内容</w:t>
      </w:r>
    </w:p>
    <w:p w14:paraId="7C846FA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（1）检查炉膛内部是否结垢并清洗，检查热交换器并用氨基磺酸投放在交换器内，在锅炉内部水系统投放磷酸酸钠、氢氧化钠，确保锅炉水系统水质在年度停机期间，不腐蚀、不结垢。</w:t>
      </w:r>
    </w:p>
    <w:p w14:paraId="1499D40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（2）检查燃烧机烟室、烟管，检查电控柜并加放干燥剂，防止电控箱受潮。</w:t>
      </w:r>
    </w:p>
    <w:p w14:paraId="23EE47B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（3）锅炉整体设备检查并处理完毕后，采用塑料薄膜对锅炉进行完全包装保护、接缝处用透明胶布粘贴，避免灰尘和防止设备受潮。</w:t>
      </w:r>
    </w:p>
    <w:p w14:paraId="603696DB">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5.3净化空调年度巡查</w:t>
      </w:r>
    </w:p>
    <w:p w14:paraId="43B7888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（1）风冷热泵压缩机绝缘、压力检测、冷凝风机、轴承检测更换；</w:t>
      </w:r>
    </w:p>
    <w:p w14:paraId="2C7B237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（2）电控柜检修、绝缘度测量、流量开关、压力传感器、温湿度传感器校正更换；</w:t>
      </w:r>
    </w:p>
    <w:p w14:paraId="094B577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（3）循环水泵检测机械密封、轴承检查更换；</w:t>
      </w:r>
    </w:p>
    <w:p w14:paraId="22B29F4A">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（4）净化风柜电机、轴承、驱动皮带检查更换。</w:t>
      </w:r>
    </w:p>
    <w:p w14:paraId="0A162740">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（5）加湿、加热系统检查维修更换。</w:t>
      </w:r>
    </w:p>
    <w:p w14:paraId="6D526B37">
      <w:pPr>
        <w:pStyle w:val="10"/>
        <w:pageBreakBefore w:val="0"/>
        <w:kinsoku/>
        <w:wordWrap/>
        <w:overflowPunct/>
        <w:topLinePunct w:val="0"/>
        <w:autoSpaceDE/>
        <w:autoSpaceDN/>
        <w:bidi w:val="0"/>
        <w:adjustRightInd/>
        <w:snapToGrid/>
        <w:spacing w:line="400" w:lineRule="exact"/>
        <w:ind w:firstLine="482"/>
        <w:jc w:val="both"/>
        <w:textAlignment w:val="auto"/>
        <w:outlineLvl w:val="1"/>
        <w:rPr>
          <w:rFonts w:hint="eastAsia" w:ascii="宋体" w:hAnsi="宋体" w:eastAsia="宋体" w:cs="宋体"/>
          <w:sz w:val="24"/>
          <w:szCs w:val="24"/>
        </w:rPr>
      </w:pPr>
      <w:r>
        <w:rPr>
          <w:rFonts w:hint="eastAsia" w:ascii="宋体" w:hAnsi="宋体" w:eastAsia="宋体" w:cs="宋体"/>
          <w:b/>
          <w:color w:val="000000"/>
          <w:sz w:val="24"/>
          <w:szCs w:val="24"/>
          <w:lang w:val="en-US" w:eastAsia="zh-CN"/>
        </w:rPr>
        <w:t>9</w:t>
      </w:r>
      <w:r>
        <w:rPr>
          <w:rFonts w:hint="eastAsia" w:ascii="宋体" w:hAnsi="宋体" w:eastAsia="宋体" w:cs="宋体"/>
          <w:b/>
          <w:color w:val="000000"/>
          <w:sz w:val="24"/>
          <w:szCs w:val="24"/>
        </w:rPr>
        <w:t>、维保服务要求</w:t>
      </w:r>
    </w:p>
    <w:p w14:paraId="1AD66390">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1、严格按照空调系统维保、维修、清洗内容要求及相关规范的要求，为采购人提供空调设备系统的维修、保养、清洗服务和过滤器更换服务：</w:t>
      </w:r>
    </w:p>
    <w:p w14:paraId="7E09270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rPr>
        <w:t>（1）零配件（包含不仅限于离心机、螺杆机、锅炉燃烧机等主要部件）实行全包制，采购人不再采购任何配件，所有故障配件均由成交供应商自行采购更换，费用包含在投标总价内。供应商提供的设备零配件及材料来源是正规途径，质量符合国家相关规范和标准的合格产品，</w:t>
      </w:r>
      <w:r>
        <w:rPr>
          <w:rFonts w:hint="eastAsia" w:ascii="宋体" w:hAnsi="宋体" w:eastAsia="宋体" w:cs="宋体"/>
          <w:color w:val="000000"/>
          <w:sz w:val="24"/>
          <w:szCs w:val="24"/>
          <w:lang w:eastAsia="zh-CN"/>
        </w:rPr>
        <w:t>具有合格证明。</w:t>
      </w:r>
    </w:p>
    <w:p w14:paraId="2803F04C">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（2）对常用易损配件需要现场库存（如传感器、过滤器、盘管电机、温控器、二通阀、氟利昂、冷冻油等不仅限于上述配件）确保机组正常运行。</w:t>
      </w:r>
    </w:p>
    <w:p w14:paraId="1F508C63">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2、成交供应商在签订合同后 15 日内应向采购人提交中央空调维保、维修、清洗的时间计划，并严格按此实施，不得随意变更实施时间，实施时间如需变更经采购人批准同意后方可延时。</w:t>
      </w:r>
    </w:p>
    <w:p w14:paraId="66F7BBA7">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3、维保人员在提供维保、维修服务时，应服从采购人工作人员的具体安排。维保人员在采购人场所内应遵守规章制度，服从采购人的管理和监督；供应商在实施维修维保过程中，对采购人的各类设施设备要进行成品保护，如因供应商原因造成的损坏，由供应商照价赔偿或原样修复。</w:t>
      </w:r>
    </w:p>
    <w:p w14:paraId="3AC5191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4、安全要求：现场配备安全施工责任人，全面负责本项目安全管理工作；应对所属人员进行安全交底；遵守采购人对于安全生产管理的各种制度规定，办理维保相关手续后方可开展工作。保证设备设施处于安全正常状态；维保期内产生的一切安全事故由成交供应商负全责并承担相应后果及赔偿。</w:t>
      </w:r>
    </w:p>
    <w:p w14:paraId="6E3C677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在本合同期内，成交供应商应自觉按《劳动法》《劳动合同法》以及相关法律法规的规定，负责并承担成交供应商所有人员的医疗卫生、工伤保险、劳保用品、福利等费用，成交供应商必须加强管理，杜绝任何伤亡事故的发生。成交供应商在履约过程中派出的所有施工人员必须已经购买工伤保险或者雇主责任险，并在签合同时将购买人员名单和保险合同复印件作为合同附件提交给采购人，如果成交供应商未按要求提交，采购人均视为成交供应商已经为施工人员购买工伤保险或者雇主责任险。合同履行及项目实施工程中，因成交供应商的原因造成采购人或第三方人身、财产损害的，成交供应商应负责赔偿。成交供应商因自身工作失误、管理疏漏等过失、过错而造成的安全事故以及人员伤亡或财产损失，由成交供应商负责全面处置并承担由此产生的全部经济和法律责任。</w:t>
      </w:r>
    </w:p>
    <w:p w14:paraId="1E5F75AF">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5、文明服务要求：严格遵守采购人对于外包单位及人员的管理制度，办理相关证件，凭证出入；现场人员应注重个人形象，应着装统一、佩戴工卡、注意举止文明；现场用工具、材料集中堆放整齐，禁止乱丢乱放，并做出标记。不侵占道路，并做好安全防护隔离；维修过程中尽量减少对环境的污染，维修完成后清场，保持作业场地及周边清洁卫生，垃圾集中堆放完工后场清。</w:t>
      </w:r>
    </w:p>
    <w:p w14:paraId="084F8EDB">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6、维保、维修、清洗应有相应维保、维修、清洗记录及影像证明资料。</w:t>
      </w:r>
    </w:p>
    <w:p w14:paraId="626CF561">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7、涉及检测费用由成交供应商承担。成交供应商无条件委派工程技术人员配合完成各种检查及卫生评价。维保期内，清洗等维保工作能保证各相关部门不定期对中央空调抽检结果合格，未通过检测期间发生的任何责任事故由成交供应商负责。若检测不合格，成交供应商应在规定的时间内完成整改，并承担相应后果。若属重大整改，如冷却塔冷凝水中抽检发现军团菌超标，要求采购人停止空调运行的类似情况，采购人有权扣除成交供应商当年维保费的10%，并要求立即整改，包括加派人手，加班加点每天 24 小时作业等，整改方案报采购人审批，在最短时间内完成整改；若成交供应商在采购人规定时间内无法完成整改的，扣除当年维保费的</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0%。给采购人造成严重后果的，采购人有权取消其维保资格，并依法追究相关责任。</w:t>
      </w:r>
    </w:p>
    <w:p w14:paraId="78089A68">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8、在维保或维修设备过程中因维保或维修失当造成人为设备损坏，根据损坏情况由成交供应商赔偿并更换同等品牌材质设备。</w:t>
      </w:r>
    </w:p>
    <w:p w14:paraId="5B028389">
      <w:pPr>
        <w:pStyle w:val="10"/>
        <w:pageBreakBefore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9、成交供应商对采购人检查出来的问题在一周内整改到位，并提交相应整改报告（特殊情况除外，但应积极进行整改）</w:t>
      </w:r>
    </w:p>
    <w:p w14:paraId="37829815">
      <w:pPr>
        <w:pageBreakBefore w:val="0"/>
        <w:numPr>
          <w:ilvl w:val="1"/>
          <w:numId w:val="0"/>
        </w:numPr>
        <w:tabs>
          <w:tab w:val="left" w:pos="576"/>
        </w:tabs>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b/>
          <w:bCs/>
          <w:sz w:val="24"/>
          <w:szCs w:val="24"/>
          <w:lang w:eastAsia="zh-CN"/>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0</w:t>
      </w:r>
      <w:r>
        <w:rPr>
          <w:rFonts w:hint="eastAsia" w:ascii="宋体" w:hAnsi="宋体" w:eastAsia="宋体" w:cs="宋体"/>
          <w:color w:val="000000"/>
          <w:sz w:val="24"/>
          <w:szCs w:val="24"/>
        </w:rPr>
        <w:t>、成交供应商在设备维护期间，每年对运行人员进行不少于两次的培训，并作好培训记录。</w:t>
      </w:r>
    </w:p>
    <w:p w14:paraId="65AEC319">
      <w:pPr>
        <w:pStyle w:val="2"/>
        <w:pageBreakBefore w:val="0"/>
        <w:numPr>
          <w:ilvl w:val="1"/>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lang w:val="en-US" w:eastAsia="zh-CN"/>
        </w:rPr>
      </w:pPr>
      <w:r>
        <w:rPr>
          <w:rFonts w:hint="default" w:ascii="宋体" w:hAnsi="宋体" w:eastAsia="宋体" w:cs="宋体"/>
          <w:b/>
          <w:bCs/>
          <w:sz w:val="24"/>
          <w:szCs w:val="24"/>
          <w:lang w:val="en-US" w:eastAsia="zh-CN"/>
        </w:rPr>
        <w:t xml:space="preserve">  </w:t>
      </w:r>
      <w:r>
        <w:rPr>
          <w:rFonts w:hint="eastAsia" w:ascii="宋体" w:hAnsi="宋体" w:eastAsia="宋体" w:cs="宋体"/>
          <w:b/>
          <w:bCs/>
          <w:sz w:val="24"/>
          <w:szCs w:val="24"/>
          <w:lang w:val="en-US" w:eastAsia="zh-CN"/>
        </w:rPr>
        <w:t>10.驻场人员配置</w:t>
      </w:r>
    </w:p>
    <w:p w14:paraId="76B2A044">
      <w:pPr>
        <w:rPr>
          <w:rFonts w:hint="default"/>
          <w:b w:val="0"/>
          <w:bCs w:val="0"/>
          <w:lang w:val="en-US" w:eastAsia="zh-CN"/>
        </w:rPr>
      </w:pPr>
      <w:r>
        <w:rPr>
          <w:rFonts w:hint="default"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val="en-US" w:eastAsia="zh-CN"/>
        </w:rPr>
        <w:t>驻场人员配置</w:t>
      </w:r>
      <w:r>
        <w:rPr>
          <w:rFonts w:hint="eastAsia" w:ascii="宋体" w:hAnsi="宋体" w:cs="宋体"/>
          <w:b w:val="0"/>
          <w:bCs w:val="0"/>
          <w:sz w:val="24"/>
          <w:szCs w:val="24"/>
          <w:lang w:val="en-US" w:eastAsia="zh-CN"/>
        </w:rPr>
        <w:t>，符合以下要求。</w:t>
      </w:r>
    </w:p>
    <w:p w14:paraId="4530B0ED">
      <w:pPr>
        <w:pStyle w:val="4"/>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（1）日常工作中，配置项目负责人（1人）：具备暖通或制冷类的高级工程师职称。</w:t>
      </w:r>
    </w:p>
    <w:p w14:paraId="7A5D4B64">
      <w:pPr>
        <w:pStyle w:val="4"/>
        <w:pageBreakBefore w:val="0"/>
        <w:kinsoku/>
        <w:wordWrap/>
        <w:overflowPunct/>
        <w:topLinePunct w:val="0"/>
        <w:autoSpaceDE/>
        <w:autoSpaceDN/>
        <w:bidi w:val="0"/>
        <w:adjustRightInd/>
        <w:snapToGrid/>
        <w:spacing w:line="400" w:lineRule="exact"/>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（2）日常工作中，配置留守维保值班人员应配备≥4人，</w:t>
      </w:r>
      <w:r>
        <w:rPr>
          <w:rFonts w:hint="eastAsia" w:ascii="宋体" w:hAnsi="宋体" w:cs="宋体"/>
          <w:sz w:val="24"/>
          <w:szCs w:val="24"/>
          <w:lang w:val="en-US" w:eastAsia="zh-CN"/>
        </w:rPr>
        <w:t>至少2人</w:t>
      </w:r>
      <w:r>
        <w:rPr>
          <w:rFonts w:hint="eastAsia" w:ascii="宋体" w:hAnsi="宋体" w:eastAsia="宋体" w:cs="宋体"/>
          <w:sz w:val="24"/>
          <w:szCs w:val="24"/>
          <w:lang w:val="en-US" w:eastAsia="zh-CN"/>
        </w:rPr>
        <w:t>提供国家应急管理部门或安全生产监督管理部门颁发的特种作业操作证（制冷与空调作业</w:t>
      </w:r>
      <w:r>
        <w:rPr>
          <w:rFonts w:hint="eastAsia" w:ascii="宋体" w:hAnsi="宋体" w:cs="宋体"/>
          <w:sz w:val="24"/>
          <w:szCs w:val="24"/>
          <w:lang w:val="en-US" w:eastAsia="zh-CN"/>
        </w:rPr>
        <w:t>，操作项目为：</w:t>
      </w:r>
      <w:r>
        <w:rPr>
          <w:rFonts w:hint="eastAsia" w:ascii="宋体" w:hAnsi="宋体" w:eastAsia="宋体" w:cs="宋体"/>
          <w:sz w:val="24"/>
          <w:szCs w:val="24"/>
          <w:lang w:val="en-US" w:eastAsia="zh-CN"/>
        </w:rPr>
        <w:t>制冷与空调</w:t>
      </w:r>
      <w:r>
        <w:rPr>
          <w:rFonts w:hint="eastAsia" w:ascii="宋体" w:hAnsi="宋体" w:cs="宋体"/>
          <w:sz w:val="24"/>
          <w:szCs w:val="24"/>
          <w:lang w:val="en-US" w:eastAsia="zh-CN"/>
        </w:rPr>
        <w:t>设备安装修理作业</w:t>
      </w:r>
      <w:r>
        <w:rPr>
          <w:rFonts w:hint="eastAsia" w:ascii="宋体" w:hAnsi="宋体" w:eastAsia="宋体" w:cs="宋体"/>
          <w:sz w:val="24"/>
          <w:szCs w:val="24"/>
          <w:lang w:val="en-US" w:eastAsia="zh-CN"/>
        </w:rPr>
        <w:t>）和特种作业操作证（焊接与热切割作业</w:t>
      </w:r>
      <w:r>
        <w:rPr>
          <w:rFonts w:hint="eastAsia" w:ascii="宋体" w:hAnsi="宋体" w:cs="宋体"/>
          <w:sz w:val="24"/>
          <w:szCs w:val="24"/>
          <w:lang w:val="en-US" w:eastAsia="zh-CN"/>
        </w:rPr>
        <w:t>，操作项目为：熔化</w:t>
      </w:r>
      <w:r>
        <w:rPr>
          <w:rFonts w:hint="eastAsia" w:ascii="宋体" w:hAnsi="宋体" w:eastAsia="宋体" w:cs="宋体"/>
          <w:sz w:val="24"/>
          <w:szCs w:val="24"/>
          <w:lang w:val="en-US" w:eastAsia="zh-CN"/>
        </w:rPr>
        <w:t>焊接与热切割作业</w:t>
      </w:r>
      <w:r>
        <w:rPr>
          <w:rFonts w:hint="eastAsia" w:ascii="宋体" w:hAnsi="宋体" w:cs="宋体"/>
          <w:sz w:val="24"/>
          <w:szCs w:val="24"/>
          <w:lang w:val="en-US" w:eastAsia="zh-CN"/>
        </w:rPr>
        <w:t>)；至少1人</w:t>
      </w:r>
      <w:r>
        <w:rPr>
          <w:rFonts w:hint="eastAsia" w:ascii="宋体" w:hAnsi="宋体" w:eastAsia="宋体" w:cs="宋体"/>
          <w:sz w:val="24"/>
          <w:szCs w:val="24"/>
          <w:lang w:val="en-US" w:eastAsia="zh-CN"/>
        </w:rPr>
        <w:t>提供国家应急管理部门或安全生产监督管理部门颁发的特种作业操作证（制冷与空调作业</w:t>
      </w:r>
      <w:r>
        <w:rPr>
          <w:rFonts w:hint="eastAsia" w:ascii="宋体" w:hAnsi="宋体" w:cs="宋体"/>
          <w:sz w:val="24"/>
          <w:szCs w:val="24"/>
          <w:lang w:val="en-US" w:eastAsia="zh-CN"/>
        </w:rPr>
        <w:t>，操作项目为：</w:t>
      </w:r>
      <w:r>
        <w:rPr>
          <w:rFonts w:hint="eastAsia" w:ascii="宋体" w:hAnsi="宋体" w:eastAsia="宋体" w:cs="宋体"/>
          <w:sz w:val="24"/>
          <w:szCs w:val="24"/>
          <w:lang w:val="en-US" w:eastAsia="zh-CN"/>
        </w:rPr>
        <w:t>制冷与空调</w:t>
      </w:r>
      <w:r>
        <w:rPr>
          <w:rFonts w:hint="eastAsia" w:ascii="宋体" w:hAnsi="宋体" w:cs="宋体"/>
          <w:sz w:val="24"/>
          <w:szCs w:val="24"/>
          <w:lang w:val="en-US" w:eastAsia="zh-CN"/>
        </w:rPr>
        <w:t>设备安装修理作业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和</w:t>
      </w:r>
      <w:r>
        <w:rPr>
          <w:rFonts w:hint="eastAsia" w:ascii="宋体" w:hAnsi="宋体" w:eastAsia="宋体" w:cs="宋体"/>
          <w:sz w:val="24"/>
          <w:szCs w:val="24"/>
          <w:lang w:val="en-US" w:eastAsia="zh-CN"/>
        </w:rPr>
        <w:t>特种作业操作证</w:t>
      </w:r>
      <w:r>
        <w:rPr>
          <w:rFonts w:hint="eastAsia" w:ascii="宋体" w:hAnsi="宋体" w:cs="宋体"/>
          <w:sz w:val="24"/>
          <w:szCs w:val="24"/>
          <w:lang w:val="en-US" w:eastAsia="zh-CN"/>
        </w:rPr>
        <w:t>（高处作业，操作项目为：高处安装维护拆除作业）；至少1人</w:t>
      </w:r>
      <w:r>
        <w:rPr>
          <w:rFonts w:hint="eastAsia" w:ascii="宋体" w:hAnsi="宋体" w:eastAsia="宋体" w:cs="宋体"/>
          <w:sz w:val="24"/>
          <w:szCs w:val="24"/>
          <w:lang w:val="en-US" w:eastAsia="zh-CN"/>
        </w:rPr>
        <w:t>提供国家应急管理部门或安全生产监督管理部门颁发的特种作业操作证（制冷与空调作业</w:t>
      </w:r>
      <w:r>
        <w:rPr>
          <w:rFonts w:hint="eastAsia" w:ascii="宋体" w:hAnsi="宋体" w:cs="宋体"/>
          <w:sz w:val="24"/>
          <w:szCs w:val="24"/>
          <w:lang w:val="en-US" w:eastAsia="zh-CN"/>
        </w:rPr>
        <w:t>，操作项目为：</w:t>
      </w:r>
      <w:r>
        <w:rPr>
          <w:rFonts w:hint="eastAsia" w:ascii="宋体" w:hAnsi="宋体" w:eastAsia="宋体" w:cs="宋体"/>
          <w:sz w:val="24"/>
          <w:szCs w:val="24"/>
          <w:lang w:val="en-US" w:eastAsia="zh-CN"/>
        </w:rPr>
        <w:t>制冷与空调</w:t>
      </w:r>
      <w:r>
        <w:rPr>
          <w:rFonts w:hint="eastAsia" w:ascii="宋体" w:hAnsi="宋体" w:cs="宋体"/>
          <w:sz w:val="24"/>
          <w:szCs w:val="24"/>
          <w:lang w:val="en-US" w:eastAsia="zh-CN"/>
        </w:rPr>
        <w:t>设备安装修理作业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和</w:t>
      </w:r>
      <w:r>
        <w:rPr>
          <w:rFonts w:hint="eastAsia" w:ascii="宋体" w:hAnsi="宋体" w:eastAsia="宋体" w:cs="宋体"/>
          <w:sz w:val="24"/>
          <w:szCs w:val="24"/>
          <w:lang w:val="en-US" w:eastAsia="zh-CN"/>
        </w:rPr>
        <w:t>特种作业操作证</w:t>
      </w:r>
      <w:r>
        <w:rPr>
          <w:rFonts w:hint="eastAsia" w:ascii="宋体" w:hAnsi="宋体" w:cs="宋体"/>
          <w:sz w:val="24"/>
          <w:szCs w:val="24"/>
          <w:lang w:val="en-US" w:eastAsia="zh-CN"/>
        </w:rPr>
        <w:t>（电工作业，操作项目为：低压电工作业）。</w:t>
      </w:r>
    </w:p>
    <w:p w14:paraId="7AD1F5F7">
      <w:pPr>
        <w:pStyle w:val="4"/>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（3）日常工作中，配置特种设备专职安全人员1人，提供有效的中华人民共和国特种设备《安全管理和作业人员证》项目代码为A（特种设备安全管理）。</w:t>
      </w:r>
    </w:p>
    <w:p w14:paraId="35EC4CF8">
      <w:pPr>
        <w:pStyle w:val="4"/>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（4）日常工作中，配置压力溶器作业人员1人，提供有效的中华人民共和国特种设备《安全管理和作业人员证》项目代码为R1（压力溶器作业)。</w:t>
      </w:r>
    </w:p>
    <w:p w14:paraId="6E256C08">
      <w:pPr>
        <w:pStyle w:val="4"/>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（5）日常工作中承诺至少有2人以上值班，负责现场巡查、急时解决空调设备和其他设备设施故障问题。留守维保值班人员需24小时电话畅通，法定节假日必须做好应急值班安排，并向采购人报备。</w:t>
      </w:r>
    </w:p>
    <w:p w14:paraId="29689EFA">
      <w:pPr>
        <w:pStyle w:val="4"/>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说明：以上技术服务要求，参加市场调研的供应商仅须知晓，技术服务要求的基本情况，不必响应。</w:t>
      </w:r>
    </w:p>
    <w:p w14:paraId="0011495E">
      <w:pPr>
        <w:jc w:val="center"/>
        <w:rPr>
          <w:rFonts w:hint="eastAsia"/>
          <w:b/>
          <w:bCs/>
          <w:sz w:val="24"/>
          <w:szCs w:val="24"/>
          <w:lang w:val="en-US" w:eastAsia="zh-CN"/>
        </w:rPr>
      </w:pPr>
    </w:p>
    <w:p w14:paraId="1E99E41B">
      <w:pPr>
        <w:jc w:val="center"/>
        <w:rPr>
          <w:rFonts w:hint="eastAsia"/>
          <w:b/>
          <w:bCs/>
          <w:sz w:val="24"/>
          <w:szCs w:val="24"/>
          <w:lang w:val="en-US" w:eastAsia="zh-CN"/>
        </w:rPr>
      </w:pPr>
      <w:r>
        <w:rPr>
          <w:rFonts w:hint="eastAsia"/>
          <w:b/>
          <w:bCs/>
          <w:sz w:val="24"/>
          <w:szCs w:val="24"/>
          <w:lang w:val="en-US" w:eastAsia="zh-CN"/>
        </w:rPr>
        <w:t>旌东旌西院区空调、负压、医用气体、旌西院区锅炉维保维修人员需求表</w:t>
      </w:r>
    </w:p>
    <w:p w14:paraId="327ECC9A">
      <w:pPr>
        <w:rPr>
          <w:rFonts w:hint="eastAsia"/>
          <w:b/>
          <w:bCs/>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10"/>
        <w:gridCol w:w="2875"/>
        <w:gridCol w:w="3175"/>
      </w:tblGrid>
      <w:tr w14:paraId="75D3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1F9866CF">
            <w:pPr>
              <w:rPr>
                <w:rFonts w:hint="default"/>
                <w:sz w:val="24"/>
                <w:szCs w:val="24"/>
                <w:vertAlign w:val="baseline"/>
                <w:lang w:val="en-US" w:eastAsia="zh-CN"/>
              </w:rPr>
            </w:pPr>
            <w:r>
              <w:rPr>
                <w:rFonts w:hint="eastAsia"/>
                <w:sz w:val="24"/>
                <w:szCs w:val="24"/>
                <w:vertAlign w:val="baseline"/>
                <w:lang w:val="en-US" w:eastAsia="zh-CN"/>
              </w:rPr>
              <w:t>序号</w:t>
            </w:r>
          </w:p>
        </w:tc>
        <w:tc>
          <w:tcPr>
            <w:tcW w:w="1610" w:type="dxa"/>
          </w:tcPr>
          <w:p w14:paraId="507B87FC">
            <w:pPr>
              <w:rPr>
                <w:rFonts w:hint="default"/>
                <w:sz w:val="24"/>
                <w:szCs w:val="24"/>
                <w:vertAlign w:val="baseline"/>
                <w:lang w:val="en-US" w:eastAsia="zh-CN"/>
              </w:rPr>
            </w:pPr>
            <w:r>
              <w:rPr>
                <w:rFonts w:hint="eastAsia"/>
                <w:sz w:val="24"/>
                <w:szCs w:val="24"/>
                <w:vertAlign w:val="baseline"/>
                <w:lang w:val="en-US" w:eastAsia="zh-CN"/>
              </w:rPr>
              <w:t>人员</w:t>
            </w:r>
          </w:p>
        </w:tc>
        <w:tc>
          <w:tcPr>
            <w:tcW w:w="2875" w:type="dxa"/>
          </w:tcPr>
          <w:p w14:paraId="7B2C1428">
            <w:pPr>
              <w:rPr>
                <w:rFonts w:hint="default"/>
                <w:sz w:val="24"/>
                <w:szCs w:val="24"/>
                <w:vertAlign w:val="baseline"/>
                <w:lang w:val="en-US" w:eastAsia="zh-CN"/>
              </w:rPr>
            </w:pPr>
            <w:r>
              <w:rPr>
                <w:rFonts w:hint="eastAsia"/>
                <w:sz w:val="24"/>
                <w:szCs w:val="24"/>
                <w:vertAlign w:val="baseline"/>
                <w:lang w:val="en-US" w:eastAsia="zh-CN"/>
              </w:rPr>
              <w:t>具体工作</w:t>
            </w:r>
          </w:p>
        </w:tc>
        <w:tc>
          <w:tcPr>
            <w:tcW w:w="3175" w:type="dxa"/>
          </w:tcPr>
          <w:p w14:paraId="137BA188">
            <w:pPr>
              <w:rPr>
                <w:rFonts w:hint="default"/>
                <w:sz w:val="24"/>
                <w:szCs w:val="24"/>
                <w:vertAlign w:val="baseline"/>
                <w:lang w:val="en-US" w:eastAsia="zh-CN"/>
              </w:rPr>
            </w:pPr>
            <w:r>
              <w:rPr>
                <w:rFonts w:hint="eastAsia"/>
                <w:sz w:val="24"/>
                <w:szCs w:val="24"/>
                <w:vertAlign w:val="baseline"/>
                <w:lang w:val="en-US" w:eastAsia="zh-CN"/>
              </w:rPr>
              <w:t>要求</w:t>
            </w:r>
          </w:p>
        </w:tc>
      </w:tr>
      <w:tr w14:paraId="301D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7CE0D83E">
            <w:pPr>
              <w:rPr>
                <w:rFonts w:hint="default"/>
                <w:sz w:val="24"/>
                <w:szCs w:val="24"/>
                <w:vertAlign w:val="baseline"/>
                <w:lang w:val="en-US" w:eastAsia="zh-CN"/>
              </w:rPr>
            </w:pPr>
            <w:r>
              <w:rPr>
                <w:rFonts w:hint="eastAsia"/>
                <w:sz w:val="24"/>
                <w:szCs w:val="24"/>
                <w:vertAlign w:val="baseline"/>
                <w:lang w:val="en-US" w:eastAsia="zh-CN"/>
              </w:rPr>
              <w:t>1</w:t>
            </w:r>
          </w:p>
        </w:tc>
        <w:tc>
          <w:tcPr>
            <w:tcW w:w="1610" w:type="dxa"/>
          </w:tcPr>
          <w:p w14:paraId="488C4354">
            <w:pPr>
              <w:jc w:val="center"/>
              <w:rPr>
                <w:rFonts w:hint="default"/>
                <w:sz w:val="24"/>
                <w:szCs w:val="24"/>
                <w:vertAlign w:val="baseline"/>
                <w:lang w:val="en-US" w:eastAsia="zh-CN"/>
              </w:rPr>
            </w:pPr>
            <w:r>
              <w:rPr>
                <w:rFonts w:hint="eastAsia" w:ascii="宋体" w:hAnsi="宋体" w:eastAsia="宋体" w:cs="宋体"/>
                <w:sz w:val="24"/>
                <w:szCs w:val="24"/>
                <w:lang w:val="en-US" w:eastAsia="zh-CN"/>
              </w:rPr>
              <w:t>项目负责人：1人</w:t>
            </w:r>
          </w:p>
        </w:tc>
        <w:tc>
          <w:tcPr>
            <w:tcW w:w="2875" w:type="dxa"/>
          </w:tcPr>
          <w:p w14:paraId="40E96CBA">
            <w:pPr>
              <w:rPr>
                <w:rFonts w:hint="default"/>
                <w:sz w:val="24"/>
                <w:szCs w:val="24"/>
                <w:vertAlign w:val="baseline"/>
                <w:lang w:val="en-US" w:eastAsia="zh-CN"/>
              </w:rPr>
            </w:pPr>
            <w:r>
              <w:rPr>
                <w:rFonts w:hint="eastAsia"/>
                <w:sz w:val="24"/>
                <w:szCs w:val="24"/>
                <w:vertAlign w:val="baseline"/>
                <w:lang w:val="en-US" w:eastAsia="zh-CN"/>
              </w:rPr>
              <w:t>负责设备维保、运行管理、安全等全面工作。</w:t>
            </w:r>
          </w:p>
        </w:tc>
        <w:tc>
          <w:tcPr>
            <w:tcW w:w="3175" w:type="dxa"/>
          </w:tcPr>
          <w:p w14:paraId="372FC018">
            <w:pPr>
              <w:rPr>
                <w:rFonts w:hint="default"/>
                <w:sz w:val="24"/>
                <w:szCs w:val="24"/>
                <w:vertAlign w:val="baseline"/>
                <w:lang w:val="en-US" w:eastAsia="zh-CN"/>
              </w:rPr>
            </w:pPr>
            <w:r>
              <w:rPr>
                <w:rFonts w:hint="default"/>
                <w:sz w:val="24"/>
                <w:szCs w:val="24"/>
                <w:vertAlign w:val="baseline"/>
                <w:lang w:val="en-US" w:eastAsia="zh-CN"/>
              </w:rPr>
              <w:t>具备暖通或制冷类的高级工程师职称。</w:t>
            </w:r>
          </w:p>
        </w:tc>
      </w:tr>
      <w:tr w14:paraId="4A9F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7E87ADE">
            <w:pPr>
              <w:rPr>
                <w:rFonts w:hint="default"/>
                <w:sz w:val="24"/>
                <w:szCs w:val="24"/>
                <w:vertAlign w:val="baseline"/>
                <w:lang w:val="en-US" w:eastAsia="zh-CN"/>
              </w:rPr>
            </w:pPr>
            <w:r>
              <w:rPr>
                <w:rFonts w:hint="eastAsia"/>
                <w:sz w:val="24"/>
                <w:szCs w:val="24"/>
                <w:vertAlign w:val="baseline"/>
                <w:lang w:val="en-US" w:eastAsia="zh-CN"/>
              </w:rPr>
              <w:t>2</w:t>
            </w:r>
          </w:p>
        </w:tc>
        <w:tc>
          <w:tcPr>
            <w:tcW w:w="1610" w:type="dxa"/>
          </w:tcPr>
          <w:p w14:paraId="2A3148FB">
            <w:pPr>
              <w:jc w:val="center"/>
              <w:rPr>
                <w:rFonts w:hint="default"/>
                <w:sz w:val="24"/>
                <w:szCs w:val="24"/>
                <w:vertAlign w:val="baseline"/>
                <w:lang w:val="en-US" w:eastAsia="zh-CN"/>
              </w:rPr>
            </w:pPr>
            <w:r>
              <w:rPr>
                <w:rFonts w:hint="eastAsia"/>
                <w:sz w:val="24"/>
                <w:szCs w:val="24"/>
                <w:vertAlign w:val="baseline"/>
                <w:lang w:val="en-US" w:eastAsia="zh-CN"/>
              </w:rPr>
              <w:t>技术负责人：1人</w:t>
            </w:r>
          </w:p>
        </w:tc>
        <w:tc>
          <w:tcPr>
            <w:tcW w:w="2875" w:type="dxa"/>
          </w:tcPr>
          <w:p w14:paraId="017706A8">
            <w:pPr>
              <w:rPr>
                <w:rFonts w:hint="default"/>
                <w:sz w:val="24"/>
                <w:szCs w:val="24"/>
                <w:vertAlign w:val="baseline"/>
                <w:lang w:val="en-US" w:eastAsia="zh-CN"/>
              </w:rPr>
            </w:pPr>
            <w:r>
              <w:rPr>
                <w:rFonts w:hint="eastAsia"/>
                <w:sz w:val="24"/>
                <w:szCs w:val="24"/>
                <w:vertAlign w:val="baseline"/>
                <w:lang w:val="en-US" w:eastAsia="zh-CN"/>
              </w:rPr>
              <w:t>负责设备维修、维护保养、技术实操、员工培训，以及本项目的实施工作计划安排。</w:t>
            </w:r>
          </w:p>
        </w:tc>
        <w:tc>
          <w:tcPr>
            <w:tcW w:w="3175" w:type="dxa"/>
          </w:tcPr>
          <w:p w14:paraId="4687C8A6">
            <w:pPr>
              <w:rPr>
                <w:rFonts w:hint="default"/>
                <w:sz w:val="24"/>
                <w:szCs w:val="24"/>
                <w:vertAlign w:val="baseline"/>
                <w:lang w:val="en-US" w:eastAsia="zh-CN"/>
              </w:rPr>
            </w:pPr>
            <w:r>
              <w:rPr>
                <w:rFonts w:hint="default"/>
                <w:sz w:val="24"/>
                <w:szCs w:val="24"/>
                <w:vertAlign w:val="baseline"/>
                <w:lang w:val="en-US" w:eastAsia="zh-CN"/>
              </w:rPr>
              <w:t>具备</w:t>
            </w:r>
            <w:r>
              <w:rPr>
                <w:rFonts w:hint="eastAsia"/>
                <w:sz w:val="24"/>
                <w:szCs w:val="24"/>
                <w:vertAlign w:val="baseline"/>
                <w:lang w:val="en-US" w:eastAsia="zh-CN"/>
              </w:rPr>
              <w:t>机电工程</w:t>
            </w:r>
            <w:r>
              <w:rPr>
                <w:rFonts w:hint="default"/>
                <w:sz w:val="24"/>
                <w:szCs w:val="24"/>
                <w:vertAlign w:val="baseline"/>
                <w:lang w:val="en-US" w:eastAsia="zh-CN"/>
              </w:rPr>
              <w:t>高级工程师职称。</w:t>
            </w:r>
          </w:p>
        </w:tc>
      </w:tr>
      <w:tr w14:paraId="3C20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35419752">
            <w:pPr>
              <w:rPr>
                <w:rFonts w:hint="default"/>
                <w:sz w:val="24"/>
                <w:szCs w:val="24"/>
                <w:vertAlign w:val="baseline"/>
                <w:lang w:val="en-US" w:eastAsia="zh-CN"/>
              </w:rPr>
            </w:pPr>
            <w:r>
              <w:rPr>
                <w:rFonts w:hint="eastAsia"/>
                <w:sz w:val="24"/>
                <w:szCs w:val="24"/>
                <w:vertAlign w:val="baseline"/>
                <w:lang w:val="en-US" w:eastAsia="zh-CN"/>
              </w:rPr>
              <w:t>3</w:t>
            </w:r>
          </w:p>
        </w:tc>
        <w:tc>
          <w:tcPr>
            <w:tcW w:w="1610" w:type="dxa"/>
          </w:tcPr>
          <w:p w14:paraId="756559D5">
            <w:pPr>
              <w:jc w:val="center"/>
              <w:rPr>
                <w:rFonts w:hint="default"/>
                <w:sz w:val="24"/>
                <w:szCs w:val="24"/>
                <w:vertAlign w:val="baseline"/>
                <w:lang w:val="en-US" w:eastAsia="zh-CN"/>
              </w:rPr>
            </w:pPr>
            <w:r>
              <w:rPr>
                <w:rFonts w:hint="eastAsia"/>
                <w:sz w:val="24"/>
                <w:szCs w:val="24"/>
                <w:vertAlign w:val="baseline"/>
                <w:lang w:val="en-US" w:eastAsia="zh-CN"/>
              </w:rPr>
              <w:t>驻守技术员：4人</w:t>
            </w:r>
          </w:p>
        </w:tc>
        <w:tc>
          <w:tcPr>
            <w:tcW w:w="2875" w:type="dxa"/>
          </w:tcPr>
          <w:p w14:paraId="7DF417D1">
            <w:pPr>
              <w:jc w:val="left"/>
              <w:rPr>
                <w:rFonts w:hint="default"/>
                <w:sz w:val="24"/>
                <w:szCs w:val="24"/>
                <w:vertAlign w:val="baseline"/>
                <w:lang w:val="en-US" w:eastAsia="zh-CN"/>
              </w:rPr>
            </w:pPr>
            <w:r>
              <w:rPr>
                <w:rFonts w:hint="eastAsia"/>
                <w:sz w:val="24"/>
                <w:szCs w:val="24"/>
                <w:vertAlign w:val="baseline"/>
                <w:lang w:val="en-US" w:eastAsia="zh-CN"/>
              </w:rPr>
              <w:t>负责设备维修、维护保养、日常巡查、故障排除、值班等工作。</w:t>
            </w:r>
          </w:p>
        </w:tc>
        <w:tc>
          <w:tcPr>
            <w:tcW w:w="3175" w:type="dxa"/>
          </w:tcPr>
          <w:p w14:paraId="03A7BA87">
            <w:pPr>
              <w:rPr>
                <w:rFonts w:hint="eastAsia" w:ascii="宋体" w:hAnsi="宋体" w:eastAsia="宋体" w:cs="宋体"/>
                <w:sz w:val="24"/>
                <w:szCs w:val="24"/>
                <w:lang w:val="en-US" w:eastAsia="zh-CN"/>
              </w:rPr>
            </w:pPr>
            <w:r>
              <w:rPr>
                <w:rFonts w:hint="eastAsia"/>
                <w:sz w:val="24"/>
                <w:szCs w:val="24"/>
                <w:vertAlign w:val="baseline"/>
                <w:lang w:val="en-US" w:eastAsia="zh-CN"/>
              </w:rPr>
              <w:t>具备</w:t>
            </w:r>
            <w:r>
              <w:rPr>
                <w:rFonts w:hint="eastAsia" w:ascii="宋体" w:hAnsi="宋体" w:eastAsia="宋体" w:cs="宋体"/>
                <w:sz w:val="24"/>
                <w:szCs w:val="24"/>
                <w:lang w:val="en-US" w:eastAsia="zh-CN"/>
              </w:rPr>
              <w:t>特种作业操作证书：</w:t>
            </w:r>
          </w:p>
          <w:p w14:paraId="654D6F18">
            <w:pPr>
              <w:numPr>
                <w:ilvl w:val="0"/>
                <w:numId w:val="4"/>
              </w:numPr>
              <w:rPr>
                <w:rFonts w:hint="eastAsia" w:ascii="宋体" w:hAnsi="宋体" w:cs="宋体"/>
                <w:sz w:val="24"/>
                <w:szCs w:val="24"/>
                <w:lang w:val="en-US" w:eastAsia="zh-CN"/>
              </w:rPr>
            </w:pPr>
            <w:r>
              <w:rPr>
                <w:rFonts w:hint="eastAsia" w:ascii="宋体" w:hAnsi="宋体" w:eastAsia="宋体" w:cs="宋体"/>
                <w:sz w:val="24"/>
                <w:szCs w:val="24"/>
                <w:lang w:val="en-US" w:eastAsia="zh-CN"/>
              </w:rPr>
              <w:t>制冷与空调</w:t>
            </w:r>
            <w:r>
              <w:rPr>
                <w:rFonts w:hint="eastAsia" w:ascii="宋体" w:hAnsi="宋体" w:cs="宋体"/>
                <w:sz w:val="24"/>
                <w:szCs w:val="24"/>
                <w:lang w:val="en-US" w:eastAsia="zh-CN"/>
              </w:rPr>
              <w:t>设备安装修理作业</w:t>
            </w:r>
          </w:p>
          <w:p w14:paraId="32324A7D">
            <w:pPr>
              <w:numPr>
                <w:ilvl w:val="0"/>
                <w:numId w:val="4"/>
              </w:numPr>
              <w:rPr>
                <w:rFonts w:hint="default" w:ascii="宋体" w:hAnsi="宋体" w:cs="宋体"/>
                <w:sz w:val="24"/>
                <w:szCs w:val="24"/>
                <w:lang w:val="en-US" w:eastAsia="zh-CN"/>
              </w:rPr>
            </w:pPr>
            <w:r>
              <w:rPr>
                <w:rFonts w:hint="eastAsia" w:ascii="宋体" w:hAnsi="宋体" w:eastAsia="宋体" w:cs="宋体"/>
                <w:sz w:val="24"/>
                <w:szCs w:val="24"/>
                <w:lang w:val="en-US" w:eastAsia="zh-CN"/>
              </w:rPr>
              <w:t>焊接与热切割作业</w:t>
            </w:r>
          </w:p>
          <w:p w14:paraId="58F13C8E">
            <w:pPr>
              <w:numPr>
                <w:ilvl w:val="0"/>
                <w:numId w:val="4"/>
              </w:numPr>
              <w:rPr>
                <w:rFonts w:hint="default" w:ascii="宋体" w:hAnsi="宋体" w:cs="宋体"/>
                <w:sz w:val="24"/>
                <w:szCs w:val="24"/>
                <w:lang w:val="en-US" w:eastAsia="zh-CN"/>
              </w:rPr>
            </w:pPr>
            <w:r>
              <w:rPr>
                <w:rFonts w:hint="eastAsia" w:ascii="宋体" w:hAnsi="宋体" w:cs="宋体"/>
                <w:sz w:val="24"/>
                <w:szCs w:val="24"/>
                <w:lang w:val="en-US" w:eastAsia="zh-CN"/>
              </w:rPr>
              <w:t>高处安装维护拆除作业</w:t>
            </w:r>
          </w:p>
          <w:p w14:paraId="6AEE31F8">
            <w:pPr>
              <w:numPr>
                <w:ilvl w:val="0"/>
                <w:numId w:val="4"/>
              </w:numPr>
              <w:rPr>
                <w:rFonts w:hint="default" w:ascii="宋体" w:hAnsi="宋体" w:cs="宋体"/>
                <w:sz w:val="24"/>
                <w:szCs w:val="24"/>
                <w:lang w:val="en-US" w:eastAsia="zh-CN"/>
              </w:rPr>
            </w:pPr>
            <w:r>
              <w:rPr>
                <w:rFonts w:hint="eastAsia" w:ascii="宋体" w:hAnsi="宋体" w:cs="宋体"/>
                <w:sz w:val="24"/>
                <w:szCs w:val="24"/>
                <w:lang w:val="en-US" w:eastAsia="zh-CN"/>
              </w:rPr>
              <w:t>低压电工作业</w:t>
            </w:r>
          </w:p>
          <w:p w14:paraId="7325572F">
            <w:pPr>
              <w:numPr>
                <w:ilvl w:val="0"/>
                <w:numId w:val="4"/>
              </w:numPr>
              <w:rPr>
                <w:rFonts w:hint="default" w:ascii="宋体" w:hAnsi="宋体" w:cs="宋体"/>
                <w:sz w:val="24"/>
                <w:szCs w:val="24"/>
                <w:lang w:val="en-US" w:eastAsia="zh-CN"/>
              </w:rPr>
            </w:pPr>
            <w:r>
              <w:rPr>
                <w:rFonts w:hint="eastAsia" w:ascii="宋体" w:hAnsi="宋体" w:eastAsia="宋体" w:cs="宋体"/>
                <w:sz w:val="24"/>
                <w:szCs w:val="24"/>
                <w:lang w:val="en-US" w:eastAsia="zh-CN"/>
              </w:rPr>
              <w:t>压力容器作业</w:t>
            </w:r>
          </w:p>
          <w:p w14:paraId="2C4A4586">
            <w:pPr>
              <w:numPr>
                <w:ilvl w:val="0"/>
                <w:numId w:val="4"/>
              </w:numPr>
              <w:rPr>
                <w:rFonts w:hint="default" w:ascii="宋体" w:hAnsi="宋体" w:cs="宋体"/>
                <w:sz w:val="24"/>
                <w:szCs w:val="24"/>
                <w:lang w:val="en-US" w:eastAsia="zh-CN"/>
              </w:rPr>
            </w:pPr>
            <w:r>
              <w:rPr>
                <w:rFonts w:hint="default" w:ascii="宋体" w:hAnsi="宋体" w:cs="宋体"/>
                <w:sz w:val="24"/>
                <w:szCs w:val="24"/>
                <w:lang w:val="en-US" w:eastAsia="zh-CN"/>
              </w:rPr>
              <w:t>工业锅炉司炉证与锅炉水处理证</w:t>
            </w:r>
          </w:p>
        </w:tc>
      </w:tr>
      <w:tr w14:paraId="5919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0" w:type="dxa"/>
            <w:gridSpan w:val="4"/>
          </w:tcPr>
          <w:p w14:paraId="6382AE79">
            <w:pPr>
              <w:rPr>
                <w:rFonts w:hint="default"/>
                <w:sz w:val="24"/>
                <w:szCs w:val="24"/>
                <w:vertAlign w:val="baseline"/>
                <w:lang w:val="en-US" w:eastAsia="zh-CN"/>
              </w:rPr>
            </w:pPr>
            <w:r>
              <w:rPr>
                <w:rFonts w:hint="eastAsia"/>
                <w:sz w:val="24"/>
                <w:szCs w:val="24"/>
                <w:vertAlign w:val="baseline"/>
                <w:lang w:val="en-US" w:eastAsia="zh-CN"/>
              </w:rPr>
              <w:t>备注：结合空调使用高峰实际情况，增补空调运维人员。</w:t>
            </w:r>
          </w:p>
        </w:tc>
      </w:tr>
    </w:tbl>
    <w:p w14:paraId="27036786">
      <w:pPr>
        <w:rPr>
          <w:rFonts w:hint="default"/>
          <w:lang w:val="en-US" w:eastAsia="zh-CN"/>
        </w:rPr>
      </w:pPr>
    </w:p>
    <w:p w14:paraId="7413AF7D">
      <w:pPr>
        <w:rPr>
          <w:rFonts w:hint="eastAsia" w:ascii="华文宋体" w:hAnsi="华文宋体" w:eastAsia="华文宋体"/>
          <w:sz w:val="24"/>
          <w:lang w:eastAsia="zh-CN"/>
        </w:rPr>
      </w:pPr>
    </w:p>
    <w:p w14:paraId="32F0C21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203" w:usb1="288F0000" w:usb2="0000000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5"/>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1"/>
      <w:numFmt w:val="decimal"/>
      <w:lvlText w:val="%1."/>
      <w:lvlJc w:val="left"/>
      <w:pPr>
        <w:ind w:left="0"/>
      </w:pPr>
    </w:lvl>
  </w:abstractNum>
  <w:abstractNum w:abstractNumId="3">
    <w:nsid w:val="00000003"/>
    <w:multiLevelType w:val="multilevel"/>
    <w:tmpl w:val="00000003"/>
    <w:lvl w:ilvl="0" w:tentative="0">
      <w:start w:val="2"/>
      <w:numFmt w:val="decimal"/>
      <w:lvlText w:val="%1"/>
      <w:lvlJc w:val="left"/>
      <w:pPr>
        <w:tabs>
          <w:tab w:val="left" w:pos="432"/>
        </w:tabs>
        <w:ind w:left="432" w:hanging="432"/>
      </w:pPr>
      <w:rPr>
        <w:rFonts w:hint="eastAsia"/>
      </w:rPr>
    </w:lvl>
    <w:lvl w:ilvl="1" w:tentative="0">
      <w:start w:val="1"/>
      <w:numFmt w:val="decimal"/>
      <w:pStyle w:val="2"/>
      <w:lvlText w:val="%1.%2"/>
      <w:lvlJc w:val="left"/>
      <w:pPr>
        <w:tabs>
          <w:tab w:val="left" w:pos="576"/>
        </w:tabs>
        <w:ind w:left="576" w:hanging="576"/>
      </w:pPr>
      <w:rPr>
        <w:rFonts w:hint="eastAsia"/>
      </w:rPr>
    </w:lvl>
    <w:lvl w:ilvl="2" w:tentative="0">
      <w:start w:val="1"/>
      <w:numFmt w:val="decimal"/>
      <w:lvlText w:val="%1.1.%3"/>
      <w:lvlJc w:val="left"/>
      <w:pPr>
        <w:tabs>
          <w:tab w:val="left" w:pos="720"/>
        </w:tabs>
        <w:ind w:left="720" w:hanging="720"/>
      </w:pPr>
      <w:rPr>
        <w:rFonts w:hint="eastAsia" w:cs="Times New Roman"/>
        <w:b w:val="0"/>
        <w:i w:val="0"/>
        <w:iCs w:val="0"/>
        <w:caps w:val="0"/>
        <w:smallCaps w:val="0"/>
        <w:vanish w:val="0"/>
        <w:spacing w:val="0"/>
        <w:kern w:val="0"/>
        <w:position w:val="0"/>
        <w:u w:val="none"/>
        <w:vertAlign w:val="baseline"/>
      </w:rPr>
    </w:lvl>
    <w:lvl w:ilvl="3" w:tentative="0">
      <w:start w:val="1"/>
      <w:numFmt w:val="decimal"/>
      <w:lvlText w:val="4.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E6A53"/>
    <w:rsid w:val="398E6A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keepNext/>
      <w:keepLines/>
      <w:numPr>
        <w:ilvl w:val="1"/>
        <w:numId w:val="1"/>
      </w:numPr>
      <w:spacing w:before="240" w:after="240" w:line="520" w:lineRule="atLeast"/>
      <w:outlineLvl w:val="1"/>
    </w:pPr>
    <w:rPr>
      <w:rFonts w:ascii="Arial" w:hAnsi="Arial" w:eastAsia="黑体"/>
      <w:sz w:val="30"/>
      <w:szCs w:val="30"/>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Body Text First Indent"/>
    <w:basedOn w:val="3"/>
    <w:qFormat/>
    <w:uiPriority w:val="99"/>
    <w:pPr>
      <w:ind w:firstLine="420" w:firstLineChars="100"/>
    </w:p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null3"/>
    <w:qFormat/>
    <w:uiPriority w:val="0"/>
    <w:rPr>
      <w:rFonts w:hint="eastAsia" w:ascii="Calibri" w:hAnsi="Calibri" w:eastAsia="宋体" w:cs="宋体"/>
      <w:lang w:val="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2026-08-10T08:32:00Z</dcterms:created>
  <dc:creator>yb</dc:creator>
  <cp:lastModifiedBy>yb</cp:lastModifiedBy>
  <dcterms:modified xsi:type="dcterms:W3CDTF">2026-08-10T08:33:38Z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3B62A88FBBF94205B7480862DDECFD8F_11</vt:lpwstr>
  </property>
  <property fmtid="{D5CDD505-2E9C-101B-9397-08002B2CF9AE}" pid="4" name="KSOTemplateDocerSaveRecord">
    <vt:lpwstr>eyJoZGlkIjoiNWY5YzdjMDE5ZjgyYmNhOGM4ZGI3ZjUwNmI0YzQ0MDkiLCJ1c2VySWQiOiIyMTg0MDA2OTcifQ==</vt:lpwstr>
  </property>
</Properties>
</file>