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77F8B5">
      <w:pPr>
        <w:pStyle w:val="9"/>
        <w:jc w:val="center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医疗废物收集系统</w:t>
      </w:r>
      <w:r>
        <w:rPr>
          <w:rFonts w:hint="eastAsia" w:asciiTheme="majorEastAsia" w:hAnsiTheme="majorEastAsia" w:eastAsiaTheme="majorEastAsia" w:cstheme="majorEastAsia"/>
          <w:lang w:val="en-US" w:eastAsia="zh-CN"/>
        </w:rPr>
        <w:t>询价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</w:rPr>
        <w:t>参数</w:t>
      </w:r>
    </w:p>
    <w:p w14:paraId="75F673A9">
      <w:pPr>
        <w:pStyle w:val="4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一、主要配置</w:t>
      </w:r>
    </w:p>
    <w:p w14:paraId="152C4421">
      <w:pPr>
        <w:pStyle w:val="16"/>
        <w:numPr>
          <w:ilvl w:val="0"/>
          <w:numId w:val="1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带电动助力型的智能医废收集一体车</w:t>
      </w:r>
      <w:r>
        <w:rPr>
          <w:rFonts w:hint="eastAsia" w:asciiTheme="majorEastAsia" w:hAnsiTheme="majorEastAsia" w:eastAsiaTheme="majorEastAsia" w:cstheme="majorEastAsia"/>
        </w:rPr>
        <w:t>：集成一体式称重电子秤、热敏打印机、触摸屏、4G/WIFI 通信、扫码、存储器模块、电池电控模块。医疗废物收集车上的终端设备通过存储卡 /usb/HDMI/ 网络 WiFi/4G 接入在线监管软件平台，数据实时同步到四川智慧卫监和无废四川平台。</w:t>
      </w:r>
    </w:p>
    <w:p w14:paraId="2E50C66A">
      <w:pPr>
        <w:pStyle w:val="16"/>
        <w:numPr>
          <w:ilvl w:val="0"/>
          <w:numId w:val="1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医疗废物收集 APP</w:t>
      </w:r>
      <w:r>
        <w:rPr>
          <w:rFonts w:hint="eastAsia" w:asciiTheme="majorEastAsia" w:hAnsiTheme="majorEastAsia" w:eastAsiaTheme="majorEastAsia" w:cstheme="majorEastAsia"/>
        </w:rPr>
        <w:t>：1 套。</w:t>
      </w:r>
    </w:p>
    <w:p w14:paraId="46287413">
      <w:pPr>
        <w:pStyle w:val="16"/>
        <w:numPr>
          <w:ilvl w:val="0"/>
          <w:numId w:val="1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医疗废物智慧管理平台</w:t>
      </w:r>
      <w:r>
        <w:rPr>
          <w:rFonts w:hint="eastAsia" w:asciiTheme="majorEastAsia" w:hAnsiTheme="majorEastAsia" w:eastAsiaTheme="majorEastAsia" w:cstheme="majorEastAsia"/>
        </w:rPr>
        <w:t>：1 套。</w:t>
      </w:r>
    </w:p>
    <w:p w14:paraId="1EB1192B">
      <w:pPr>
        <w:pStyle w:val="16"/>
        <w:numPr>
          <w:ilvl w:val="0"/>
          <w:numId w:val="1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医疗废物不锈钢电动一体机</w:t>
      </w:r>
      <w:r>
        <w:rPr>
          <w:rFonts w:hint="eastAsia" w:asciiTheme="majorEastAsia" w:hAnsiTheme="majorEastAsia" w:eastAsiaTheme="majorEastAsia" w:cstheme="majorEastAsia"/>
        </w:rPr>
        <w:t>：1 台。</w:t>
      </w:r>
    </w:p>
    <w:p w14:paraId="2DCAFD34">
      <w:pPr>
        <w:pStyle w:val="16"/>
        <w:numPr>
          <w:ilvl w:val="0"/>
          <w:numId w:val="1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流量卡 / 电话卡</w:t>
      </w:r>
      <w:r>
        <w:rPr>
          <w:rFonts w:hint="eastAsia" w:asciiTheme="majorEastAsia" w:hAnsiTheme="majorEastAsia" w:eastAsiaTheme="majorEastAsia" w:cstheme="majorEastAsia"/>
        </w:rPr>
        <w:t>：1 张。</w:t>
      </w:r>
    </w:p>
    <w:p w14:paraId="5119AB9A">
      <w:pPr>
        <w:pStyle w:val="16"/>
        <w:numPr>
          <w:ilvl w:val="0"/>
          <w:numId w:val="1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医疗废物标签纸</w:t>
      </w:r>
      <w:r>
        <w:rPr>
          <w:rFonts w:hint="eastAsia" w:asciiTheme="majorEastAsia" w:hAnsiTheme="majorEastAsia" w:eastAsiaTheme="majorEastAsia" w:cstheme="majorEastAsia"/>
        </w:rPr>
        <w:t>：100 卷。</w:t>
      </w:r>
    </w:p>
    <w:p w14:paraId="26C99BB3">
      <w:pPr>
        <w:pStyle w:val="4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二、主要功能</w:t>
      </w:r>
    </w:p>
    <w:p w14:paraId="248717F9">
      <w:pPr>
        <w:pStyle w:val="16"/>
        <w:numPr>
          <w:ilvl w:val="0"/>
          <w:numId w:val="2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数据采集与上传</w:t>
      </w:r>
      <w:r>
        <w:rPr>
          <w:rFonts w:hint="eastAsia" w:asciiTheme="majorEastAsia" w:hAnsiTheme="majorEastAsia" w:eastAsiaTheme="majorEastAsia" w:cstheme="majorEastAsia"/>
        </w:rPr>
        <w:t>：实时采集医废数据并同步上传至管理平台。</w:t>
      </w:r>
    </w:p>
    <w:p w14:paraId="036DC040">
      <w:pPr>
        <w:pStyle w:val="16"/>
        <w:numPr>
          <w:ilvl w:val="0"/>
          <w:numId w:val="2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全流程操作</w:t>
      </w:r>
      <w:r>
        <w:rPr>
          <w:rFonts w:hint="eastAsia" w:asciiTheme="majorEastAsia" w:hAnsiTheme="majorEastAsia" w:eastAsiaTheme="majorEastAsia" w:cstheme="majorEastAsia"/>
        </w:rPr>
        <w:t>：实现收集人扫码登录、称重、转运、入库、出库、打印、扫码、查询等全流程操作需求。</w:t>
      </w:r>
    </w:p>
    <w:p w14:paraId="777BEE0F">
      <w:pPr>
        <w:pStyle w:val="4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三、主要特点</w:t>
      </w:r>
    </w:p>
    <w:p w14:paraId="251103EF">
      <w:pPr>
        <w:pStyle w:val="16"/>
        <w:numPr>
          <w:ilvl w:val="0"/>
          <w:numId w:val="3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高度集成</w:t>
      </w:r>
      <w:r>
        <w:rPr>
          <w:rFonts w:hint="eastAsia" w:asciiTheme="majorEastAsia" w:hAnsiTheme="majorEastAsia" w:eastAsiaTheme="majorEastAsia" w:cstheme="majorEastAsia"/>
        </w:rPr>
        <w:t>：集成所需功能要求。</w:t>
      </w:r>
    </w:p>
    <w:p w14:paraId="78B91158">
      <w:pPr>
        <w:pStyle w:val="16"/>
        <w:numPr>
          <w:ilvl w:val="0"/>
          <w:numId w:val="3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材质与设计</w:t>
      </w:r>
      <w:r>
        <w:rPr>
          <w:rFonts w:hint="eastAsia" w:asciiTheme="majorEastAsia" w:hAnsiTheme="majorEastAsia" w:eastAsiaTheme="majorEastAsia" w:cstheme="majorEastAsia"/>
        </w:rPr>
        <w:t>：车头采用 304 型号不锈钢，车辆箱体为聚乙烯材质，耐酸碱、抗腐蚀；箱体厚度 7mm，防水等级 IP65，采用全封闭箱体设计。</w:t>
      </w:r>
    </w:p>
    <w:p w14:paraId="4D3BE713">
      <w:pPr>
        <w:pStyle w:val="16"/>
        <w:numPr>
          <w:ilvl w:val="0"/>
          <w:numId w:val="3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开门方式</w:t>
      </w:r>
      <w:r>
        <w:rPr>
          <w:rFonts w:hint="eastAsia" w:asciiTheme="majorEastAsia" w:hAnsiTheme="majorEastAsia" w:eastAsiaTheme="majorEastAsia" w:cstheme="majorEastAsia"/>
        </w:rPr>
        <w:t>：车辆具备侧开门 + 顶部开门两种方式。</w:t>
      </w:r>
    </w:p>
    <w:p w14:paraId="29D3CA98">
      <w:pPr>
        <w:pStyle w:val="16"/>
        <w:numPr>
          <w:ilvl w:val="0"/>
          <w:numId w:val="3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称重功能</w:t>
      </w:r>
      <w:r>
        <w:rPr>
          <w:rFonts w:hint="eastAsia" w:asciiTheme="majorEastAsia" w:hAnsiTheme="majorEastAsia" w:eastAsiaTheme="majorEastAsia" w:cstheme="majorEastAsia"/>
        </w:rPr>
        <w:t>：收集车整体一体式自动称重、自动置零复位（无需辅助电子秤）。</w:t>
      </w:r>
    </w:p>
    <w:p w14:paraId="6BDE4374">
      <w:pPr>
        <w:pStyle w:val="16"/>
        <w:numPr>
          <w:ilvl w:val="0"/>
          <w:numId w:val="3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操作便捷</w:t>
      </w:r>
      <w:r>
        <w:rPr>
          <w:rFonts w:hint="eastAsia" w:asciiTheme="majorEastAsia" w:hAnsiTheme="majorEastAsia" w:eastAsiaTheme="majorEastAsia" w:cstheme="majorEastAsia"/>
        </w:rPr>
        <w:t>：独立工控电脑车头，无线扫码枪操作、避免交叉感染。</w:t>
      </w:r>
    </w:p>
    <w:p w14:paraId="628F5A6C">
      <w:pPr>
        <w:pStyle w:val="16"/>
        <w:numPr>
          <w:ilvl w:val="0"/>
          <w:numId w:val="3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安全功能</w:t>
      </w:r>
      <w:r>
        <w:rPr>
          <w:rFonts w:hint="eastAsia" w:asciiTheme="majorEastAsia" w:hAnsiTheme="majorEastAsia" w:eastAsiaTheme="majorEastAsia" w:cstheme="majorEastAsia"/>
        </w:rPr>
        <w:t>：急停功能，可全车冲洗，车身明确医废标识。</w:t>
      </w:r>
    </w:p>
    <w:p w14:paraId="4FFDED82">
      <w:pPr>
        <w:pStyle w:val="16"/>
        <w:numPr>
          <w:ilvl w:val="0"/>
          <w:numId w:val="3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动力与控制</w:t>
      </w:r>
      <w:r>
        <w:rPr>
          <w:rFonts w:hint="eastAsia" w:asciiTheme="majorEastAsia" w:hAnsiTheme="majorEastAsia" w:eastAsiaTheme="majorEastAsia" w:cstheme="majorEastAsia"/>
        </w:rPr>
        <w:t>：电动助力、无极调速，可自由控制速度，电磁刹车，可手动解除制动。</w:t>
      </w:r>
    </w:p>
    <w:p w14:paraId="4584AE22">
      <w:pPr>
        <w:pStyle w:val="4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四、技术性能参数指标</w:t>
      </w:r>
    </w:p>
    <w:p w14:paraId="26BE0DDE">
      <w:pPr>
        <w:pStyle w:val="16"/>
        <w:numPr>
          <w:ilvl w:val="0"/>
          <w:numId w:val="4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物理参数</w:t>
      </w:r>
      <w:r>
        <w:rPr>
          <w:rFonts w:hint="eastAsia" w:asciiTheme="majorEastAsia" w:hAnsiTheme="majorEastAsia" w:eastAsiaTheme="majorEastAsia" w:cstheme="majorEastAsia"/>
        </w:rPr>
        <w:t>：外形尺寸：≥长 1420× 宽 730× 高 1300mm。</w:t>
      </w:r>
    </w:p>
    <w:p w14:paraId="3E50D688">
      <w:pPr>
        <w:pStyle w:val="16"/>
        <w:numPr>
          <w:ilvl w:val="0"/>
          <w:numId w:val="4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冲洗排污口径</w:t>
      </w:r>
      <w:r>
        <w:rPr>
          <w:rFonts w:hint="eastAsia" w:asciiTheme="majorEastAsia" w:hAnsiTheme="majorEastAsia" w:eastAsiaTheme="majorEastAsia" w:cstheme="majorEastAsia"/>
        </w:rPr>
        <w:t>：40mm±2mm。</w:t>
      </w:r>
    </w:p>
    <w:p w14:paraId="398EBCB8">
      <w:pPr>
        <w:pStyle w:val="16"/>
        <w:numPr>
          <w:ilvl w:val="0"/>
          <w:numId w:val="4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可收纳容量</w:t>
      </w:r>
      <w:r>
        <w:rPr>
          <w:rFonts w:hint="eastAsia" w:asciiTheme="majorEastAsia" w:hAnsiTheme="majorEastAsia" w:eastAsiaTheme="majorEastAsia" w:cstheme="majorEastAsia"/>
        </w:rPr>
        <w:t>：≥900L。</w:t>
      </w:r>
    </w:p>
    <w:p w14:paraId="7DF994E0">
      <w:pPr>
        <w:pStyle w:val="16"/>
        <w:numPr>
          <w:ilvl w:val="0"/>
          <w:numId w:val="4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最大载重</w:t>
      </w:r>
      <w:r>
        <w:rPr>
          <w:rFonts w:hint="eastAsia" w:asciiTheme="majorEastAsia" w:hAnsiTheme="majorEastAsia" w:eastAsiaTheme="majorEastAsia" w:cstheme="majorEastAsia"/>
        </w:rPr>
        <w:t>：≥250Kg。</w:t>
      </w:r>
    </w:p>
    <w:p w14:paraId="3005230B">
      <w:pPr>
        <w:pStyle w:val="16"/>
        <w:numPr>
          <w:ilvl w:val="0"/>
          <w:numId w:val="4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称重精度</w:t>
      </w:r>
      <w:r>
        <w:rPr>
          <w:rFonts w:hint="eastAsia" w:asciiTheme="majorEastAsia" w:hAnsiTheme="majorEastAsia" w:eastAsiaTheme="majorEastAsia" w:cstheme="majorEastAsia"/>
        </w:rPr>
        <w:t>：至少 10g 以上，称重叠加式。</w:t>
      </w:r>
    </w:p>
    <w:p w14:paraId="676EC80A">
      <w:pPr>
        <w:pStyle w:val="16"/>
        <w:numPr>
          <w:ilvl w:val="0"/>
          <w:numId w:val="4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显示屏</w:t>
      </w:r>
      <w:r>
        <w:rPr>
          <w:rFonts w:hint="eastAsia" w:asciiTheme="majorEastAsia" w:hAnsiTheme="majorEastAsia" w:eastAsiaTheme="majorEastAsia" w:cstheme="majorEastAsia"/>
        </w:rPr>
        <w:t>：不少于 10.1 寸 IPS 屏幕，电容式 5 点触摸钢化玻璃材质。</w:t>
      </w:r>
    </w:p>
    <w:p w14:paraId="4EB4013B">
      <w:pPr>
        <w:pStyle w:val="16"/>
        <w:numPr>
          <w:ilvl w:val="0"/>
          <w:numId w:val="4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屏幕分辨率</w:t>
      </w:r>
      <w:r>
        <w:rPr>
          <w:rFonts w:hint="eastAsia" w:asciiTheme="majorEastAsia" w:hAnsiTheme="majorEastAsia" w:eastAsiaTheme="majorEastAsia" w:cstheme="majorEastAsia"/>
        </w:rPr>
        <w:t>：≥1280×800 像素。</w:t>
      </w:r>
    </w:p>
    <w:p w14:paraId="01C42CE3">
      <w:pPr>
        <w:pStyle w:val="16"/>
        <w:numPr>
          <w:ilvl w:val="0"/>
          <w:numId w:val="4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打印模式</w:t>
      </w:r>
      <w:r>
        <w:rPr>
          <w:rFonts w:hint="eastAsia" w:asciiTheme="majorEastAsia" w:hAnsiTheme="majorEastAsia" w:eastAsiaTheme="majorEastAsia" w:cstheme="majorEastAsia"/>
        </w:rPr>
        <w:t>：三防热敏打印自动出码。</w:t>
      </w:r>
    </w:p>
    <w:p w14:paraId="3E8D183C">
      <w:pPr>
        <w:pStyle w:val="16"/>
        <w:numPr>
          <w:ilvl w:val="0"/>
          <w:numId w:val="4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标签纸规格</w:t>
      </w:r>
      <w:r>
        <w:rPr>
          <w:rFonts w:hint="eastAsia" w:asciiTheme="majorEastAsia" w:hAnsiTheme="majorEastAsia" w:eastAsiaTheme="majorEastAsia" w:cstheme="majorEastAsia"/>
        </w:rPr>
        <w:t>：50×30mm±1mm。</w:t>
      </w:r>
    </w:p>
    <w:p w14:paraId="5FC0223B">
      <w:pPr>
        <w:pStyle w:val="16"/>
        <w:numPr>
          <w:ilvl w:val="0"/>
          <w:numId w:val="4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扫码枪</w:t>
      </w:r>
      <w:r>
        <w:rPr>
          <w:rFonts w:hint="eastAsia" w:asciiTheme="majorEastAsia" w:hAnsiTheme="majorEastAsia" w:eastAsiaTheme="majorEastAsia" w:cstheme="majorEastAsia"/>
        </w:rPr>
        <w:t>：支持无线接口，通讯距离 2.4G，在医院环境下≥10 米，光源红光 LED 瞄准 + 白光 LED 照明；支持条码 Codabar，Code11，Code39/Code93，UPC/EAN，Code128/EAN128，InterLeaved2of5，Matrix2of5，MSI CODE，Standard2of5.QR CODE 等，抗震性能力可承受 3m 的水泥地面摔落。</w:t>
      </w:r>
    </w:p>
    <w:p w14:paraId="6B4B6814">
      <w:pPr>
        <w:pStyle w:val="16"/>
        <w:numPr>
          <w:ilvl w:val="0"/>
          <w:numId w:val="4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车轮</w:t>
      </w:r>
      <w:r>
        <w:rPr>
          <w:rFonts w:hint="eastAsia" w:asciiTheme="majorEastAsia" w:hAnsiTheme="majorEastAsia" w:eastAsiaTheme="majorEastAsia" w:cstheme="majorEastAsia"/>
        </w:rPr>
        <w:t>：须采用耐磨静音材质，定向轮≥8 英寸增加通过能力，万向轮≥6 英寸便于方向控制，单个车轮载重量≥250kg。</w:t>
      </w:r>
    </w:p>
    <w:p w14:paraId="16A603B8">
      <w:pPr>
        <w:pStyle w:val="16"/>
        <w:numPr>
          <w:ilvl w:val="0"/>
          <w:numId w:val="4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助力电机功率</w:t>
      </w:r>
      <w:r>
        <w:rPr>
          <w:rFonts w:hint="eastAsia" w:asciiTheme="majorEastAsia" w:hAnsiTheme="majorEastAsia" w:eastAsiaTheme="majorEastAsia" w:cstheme="majorEastAsia"/>
        </w:rPr>
        <w:t>：≥0.5kW。</w:t>
      </w:r>
    </w:p>
    <w:p w14:paraId="7500EAE1">
      <w:pPr>
        <w:pStyle w:val="16"/>
        <w:numPr>
          <w:ilvl w:val="0"/>
          <w:numId w:val="4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行驶速度</w:t>
      </w:r>
      <w:r>
        <w:rPr>
          <w:rFonts w:hint="eastAsia" w:asciiTheme="majorEastAsia" w:hAnsiTheme="majorEastAsia" w:eastAsiaTheme="majorEastAsia" w:cstheme="majorEastAsia"/>
        </w:rPr>
        <w:t>：无级变速，0 - 5km/h。</w:t>
      </w:r>
    </w:p>
    <w:p w14:paraId="70B092EE">
      <w:pPr>
        <w:pStyle w:val="16"/>
        <w:numPr>
          <w:ilvl w:val="0"/>
          <w:numId w:val="4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满载爬坡能力</w:t>
      </w:r>
      <w:r>
        <w:rPr>
          <w:rFonts w:hint="eastAsia" w:asciiTheme="majorEastAsia" w:hAnsiTheme="majorEastAsia" w:eastAsiaTheme="majorEastAsia" w:cstheme="majorEastAsia"/>
        </w:rPr>
        <w:t>：满载时 15° 坡原地起步。</w:t>
      </w:r>
    </w:p>
    <w:p w14:paraId="424D667A">
      <w:pPr>
        <w:pStyle w:val="16"/>
        <w:numPr>
          <w:ilvl w:val="0"/>
          <w:numId w:val="4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蓄电池主要技术参数</w:t>
      </w:r>
      <w:r>
        <w:rPr>
          <w:rFonts w:hint="eastAsia" w:asciiTheme="majorEastAsia" w:hAnsiTheme="majorEastAsia" w:eastAsiaTheme="majorEastAsia" w:cstheme="majorEastAsia"/>
        </w:rPr>
        <w:t>：磷酸铁锂电池；容量：≥30Ah；额定工作电压 24V；充电时间：≤6 小时；行驶距离 30KM。</w:t>
      </w:r>
    </w:p>
    <w:p w14:paraId="027CD0DF">
      <w:pPr>
        <w:pStyle w:val="16"/>
        <w:numPr>
          <w:ilvl w:val="0"/>
          <w:numId w:val="4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可部署医疗废物信收集 APP</w:t>
      </w:r>
      <w:r>
        <w:rPr>
          <w:rFonts w:hint="eastAsia" w:asciiTheme="majorEastAsia" w:hAnsiTheme="majorEastAsia" w:eastAsiaTheme="majorEastAsia" w:cstheme="majorEastAsia"/>
        </w:rPr>
        <w:t>。</w:t>
      </w:r>
    </w:p>
    <w:p w14:paraId="3E686633">
      <w:pPr>
        <w:pStyle w:val="4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五、医疗废物智慧管理平台系统功能要求</w:t>
      </w:r>
    </w:p>
    <w:p w14:paraId="0481AE44">
      <w:pPr>
        <w:pStyle w:val="16"/>
        <w:numPr>
          <w:ilvl w:val="0"/>
          <w:numId w:val="5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登录功能</w:t>
      </w:r>
      <w:r>
        <w:rPr>
          <w:rFonts w:hint="eastAsia" w:asciiTheme="majorEastAsia" w:hAnsiTheme="majorEastAsia" w:eastAsiaTheme="majorEastAsia" w:cstheme="majorEastAsia"/>
        </w:rPr>
        <w:t>：完成医疗废物智慧管理平台 pc 端登录。门户中的功能权限超级管理可以统一集中的控制台进行维护和管理。</w:t>
      </w:r>
    </w:p>
    <w:p w14:paraId="1E13B439">
      <w:pPr>
        <w:pStyle w:val="16"/>
        <w:numPr>
          <w:ilvl w:val="0"/>
          <w:numId w:val="5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首页大屏</w:t>
      </w:r>
      <w:r>
        <w:rPr>
          <w:rFonts w:hint="eastAsia" w:asciiTheme="majorEastAsia" w:hAnsiTheme="majorEastAsia" w:eastAsiaTheme="majorEastAsia" w:cstheme="majorEastAsia"/>
        </w:rPr>
        <w:t>：全院当日医疗废物情况、全院收集未入库，入库未出库数据统计及列表展示，月度数量，重量柱状图，医疗废物阶段重量对比，医疗废物占比饼状图，一周医疗废物重量曲线图。（需提供系统截图）</w:t>
      </w:r>
    </w:p>
    <w:p w14:paraId="2A1F3C95">
      <w:pPr>
        <w:pStyle w:val="16"/>
        <w:numPr>
          <w:ilvl w:val="0"/>
          <w:numId w:val="5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医废管理</w:t>
      </w:r>
      <w:r>
        <w:rPr>
          <w:rFonts w:hint="eastAsia" w:asciiTheme="majorEastAsia" w:hAnsiTheme="majorEastAsia" w:eastAsiaTheme="majorEastAsia" w:cstheme="majorEastAsia"/>
        </w:rPr>
        <w:t>：支持查看医疗废物明细，包括机构名称、科室、医疗废物编码、设备编码、医废类型、重量、数量、时间、接收人、交接人、当前流转状态、转运公司、转运人、转运车辆等信息、数据是否上传。同时可对数据进行多种筛选过滤，包括精确筛选、条件筛选、组合筛选等筛选方式，满足不同筛选需求。（需提供系统截图）</w:t>
      </w:r>
    </w:p>
    <w:p w14:paraId="7FF54A4D">
      <w:pPr>
        <w:pStyle w:val="16"/>
        <w:numPr>
          <w:ilvl w:val="0"/>
          <w:numId w:val="5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日志管理</w:t>
      </w:r>
      <w:r>
        <w:rPr>
          <w:rFonts w:hint="eastAsia" w:asciiTheme="majorEastAsia" w:hAnsiTheme="majorEastAsia" w:eastAsiaTheme="majorEastAsia" w:cstheme="majorEastAsia"/>
        </w:rPr>
        <w:t>：系统可以根据设备收集出错原因进行日志记录，方便解决问题（需提供系统截图）</w:t>
      </w:r>
    </w:p>
    <w:p w14:paraId="77A359E4">
      <w:pPr>
        <w:pStyle w:val="16"/>
        <w:numPr>
          <w:ilvl w:val="0"/>
          <w:numId w:val="5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医院管理</w:t>
      </w:r>
      <w:r>
        <w:rPr>
          <w:rFonts w:hint="eastAsia" w:asciiTheme="majorEastAsia" w:hAnsiTheme="majorEastAsia" w:eastAsiaTheme="majorEastAsia" w:cstheme="majorEastAsia"/>
        </w:rPr>
        <w:t>：系统可以对科室、护士、收集人、处置公司司机、车牌增删查改，并同步四川智慧卫监数据，支持一键导出相应二维码支持系统扫码交接。可根据需要给不同角色增删查改账号（需提供系统截图）</w:t>
      </w:r>
    </w:p>
    <w:p w14:paraId="6771753E">
      <w:pPr>
        <w:pStyle w:val="16"/>
        <w:numPr>
          <w:ilvl w:val="0"/>
          <w:numId w:val="5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操作教程</w:t>
      </w:r>
      <w:r>
        <w:rPr>
          <w:rFonts w:hint="eastAsia" w:asciiTheme="majorEastAsia" w:hAnsiTheme="majorEastAsia" w:eastAsiaTheme="majorEastAsia" w:cstheme="majorEastAsia"/>
        </w:rPr>
        <w:t>：后台可增删查改系统使用教程，教程在收集 app 可直接点击学习（需提供系统截图）</w:t>
      </w:r>
    </w:p>
    <w:p w14:paraId="5D651B7C">
      <w:pPr>
        <w:pStyle w:val="16"/>
        <w:numPr>
          <w:ilvl w:val="0"/>
          <w:numId w:val="5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权限管理</w:t>
      </w:r>
      <w:r>
        <w:rPr>
          <w:rFonts w:hint="eastAsia" w:asciiTheme="majorEastAsia" w:hAnsiTheme="majorEastAsia" w:eastAsiaTheme="majorEastAsia" w:cstheme="majorEastAsia"/>
        </w:rPr>
        <w:t>：支持系统自定义设置角色，选择授权分配功能权限。</w:t>
      </w:r>
    </w:p>
    <w:p w14:paraId="41924611">
      <w:pPr>
        <w:pStyle w:val="4"/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</w:rPr>
        <w:t>六、医疗废物收集 APP 要求</w:t>
      </w:r>
    </w:p>
    <w:p w14:paraId="2445C4F1">
      <w:pPr>
        <w:pStyle w:val="16"/>
        <w:numPr>
          <w:ilvl w:val="0"/>
          <w:numId w:val="6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收集人登录</w:t>
      </w:r>
      <w:r>
        <w:rPr>
          <w:rFonts w:hint="eastAsia" w:asciiTheme="majorEastAsia" w:hAnsiTheme="majorEastAsia" w:eastAsiaTheme="majorEastAsia" w:cstheme="majorEastAsia"/>
        </w:rPr>
        <w:t>：可通过屏幕选择登录，同时支持扫描枪扫二维码登录。</w:t>
      </w:r>
    </w:p>
    <w:p w14:paraId="44A168CE">
      <w:pPr>
        <w:pStyle w:val="16"/>
        <w:numPr>
          <w:ilvl w:val="0"/>
          <w:numId w:val="6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收集</w:t>
      </w:r>
      <w:r>
        <w:rPr>
          <w:rFonts w:hint="eastAsia" w:asciiTheme="majorEastAsia" w:hAnsiTheme="majorEastAsia" w:eastAsiaTheme="majorEastAsia" w:cstheme="majorEastAsia"/>
        </w:rPr>
        <w:t>：通过选择或扫描科室、交接护士二维码，称重打印二维码则通过在 APP 上选择医废类型后打印出相应医废二维码信息标签后进行绑定，并将标签贴到医废垃圾袋上。可筛选科室查看交接单。（需提供系统截图）</w:t>
      </w:r>
    </w:p>
    <w:p w14:paraId="58EA4510">
      <w:pPr>
        <w:pStyle w:val="16"/>
        <w:numPr>
          <w:ilvl w:val="0"/>
          <w:numId w:val="6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入库</w:t>
      </w:r>
      <w:r>
        <w:rPr>
          <w:rFonts w:hint="eastAsia" w:asciiTheme="majorEastAsia" w:hAnsiTheme="majorEastAsia" w:eastAsiaTheme="majorEastAsia" w:cstheme="majorEastAsia"/>
        </w:rPr>
        <w:t>：通过医疗废物类型分组，扫入同类型医疗废物二维码逐袋入库或全选多袋医废封箱后，将袋装医废装入医废转运箱，二维码箱标签贴到箱子上，完成装箱操作。</w:t>
      </w:r>
    </w:p>
    <w:p w14:paraId="6F466E89">
      <w:pPr>
        <w:pStyle w:val="16"/>
        <w:numPr>
          <w:ilvl w:val="0"/>
          <w:numId w:val="6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出库</w:t>
      </w:r>
      <w:r>
        <w:rPr>
          <w:rFonts w:hint="eastAsia" w:asciiTheme="majorEastAsia" w:hAnsiTheme="majorEastAsia" w:eastAsiaTheme="majorEastAsia" w:cstheme="majorEastAsia"/>
        </w:rPr>
        <w:t>：可选择或扫描处置公司，司机二维码认证，交接出库。</w:t>
      </w:r>
    </w:p>
    <w:p w14:paraId="2876897C">
      <w:pPr>
        <w:pStyle w:val="16"/>
        <w:numPr>
          <w:ilvl w:val="0"/>
          <w:numId w:val="6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统计</w:t>
      </w:r>
      <w:r>
        <w:rPr>
          <w:rFonts w:hint="eastAsia" w:asciiTheme="majorEastAsia" w:hAnsiTheme="majorEastAsia" w:eastAsiaTheme="majorEastAsia" w:cstheme="majorEastAsia"/>
        </w:rPr>
        <w:t>：可对查看收集历史，并可筛选类型，日期，收集人。可查看出库统计，并可筛选类型，日期，收集人。</w:t>
      </w:r>
    </w:p>
    <w:p w14:paraId="18C266E6">
      <w:pPr>
        <w:pStyle w:val="16"/>
        <w:numPr>
          <w:ilvl w:val="0"/>
          <w:numId w:val="6"/>
        </w:num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Theme="majorEastAsia" w:hAnsiTheme="majorEastAsia" w:eastAsiaTheme="majorEastAsia" w:cstheme="majorEastAsia"/>
          <w:b/>
          <w:bCs/>
        </w:rPr>
        <w:t>系统设置</w:t>
      </w:r>
      <w:r>
        <w:rPr>
          <w:rFonts w:hint="eastAsia" w:asciiTheme="majorEastAsia" w:hAnsiTheme="majorEastAsia" w:eastAsiaTheme="majorEastAsia" w:cstheme="majorEastAsia"/>
        </w:rPr>
        <w:t>：可绑定和删除同步单位；可调试电子称，及标定电子称精度；可查看系统使用教程。（需提供系统截图）</w:t>
      </w:r>
    </w:p>
    <w:p w14:paraId="47A7FECA">
      <w:pPr>
        <w:pStyle w:val="16"/>
        <w:rPr>
          <w:rFonts w:hint="eastAsia" w:asciiTheme="majorEastAsia" w:hAnsiTheme="majorEastAsia" w:eastAsiaTheme="majorEastAsia" w:cstheme="majorEastAsia"/>
        </w:rPr>
      </w:pPr>
    </w:p>
    <w:sectPr>
      <w:pgSz w:w="11906" w:h="16838"/>
      <w:pgMar w:top="1440" w:right="1440" w:bottom="1440" w:left="1440" w:header="708" w:footer="708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DEEF64"/>
    <w:multiLevelType w:val="multilevel"/>
    <w:tmpl w:val="B7DEEF64"/>
    <w:lvl w:ilvl="0" w:tentative="0">
      <w:start w:val="1"/>
      <w:numFmt w:val="decimal"/>
      <w:lvlText w:val="%1."/>
      <w:lvlJc w:val="left"/>
      <w:pPr>
        <w:ind w:left="288" w:hanging="288"/>
      </w:pPr>
      <w:rPr>
        <w:color w:val="3370FF"/>
        <w:sz w:val="22"/>
        <w:szCs w:val="22"/>
      </w:rPr>
    </w:lvl>
    <w:lvl w:ilvl="1" w:tentative="0">
      <w:start w:val="1"/>
      <w:numFmt w:val="lowerLetter"/>
      <w:lvlText w:val="%2."/>
      <w:lvlJc w:val="left"/>
      <w:pPr>
        <w:ind w:left="720" w:hanging="288"/>
      </w:pPr>
      <w:rPr>
        <w:color w:val="3370FF"/>
        <w:sz w:val="22"/>
        <w:szCs w:val="22"/>
      </w:rPr>
    </w:lvl>
    <w:lvl w:ilvl="2" w:tentative="0">
      <w:start w:val="1"/>
      <w:numFmt w:val="lowerRoman"/>
      <w:lvlText w:val="%3."/>
      <w:lvlJc w:val="left"/>
      <w:pPr>
        <w:ind w:left="1152" w:hanging="288"/>
      </w:pPr>
      <w:rPr>
        <w:color w:val="3370FF"/>
        <w:sz w:val="22"/>
        <w:szCs w:val="22"/>
      </w:rPr>
    </w:lvl>
    <w:lvl w:ilvl="3" w:tentative="0">
      <w:start w:val="1"/>
      <w:numFmt w:val="decimal"/>
      <w:lvlText w:val="%4."/>
      <w:lvlJc w:val="left"/>
      <w:pPr>
        <w:ind w:left="1583" w:hanging="288"/>
      </w:pPr>
      <w:rPr>
        <w:color w:val="3370FF"/>
        <w:sz w:val="22"/>
        <w:szCs w:val="22"/>
      </w:rPr>
    </w:lvl>
    <w:lvl w:ilvl="4" w:tentative="0">
      <w:start w:val="1"/>
      <w:numFmt w:val="lowerLetter"/>
      <w:lvlText w:val="%5."/>
      <w:lvlJc w:val="left"/>
      <w:pPr>
        <w:ind w:left="2015" w:hanging="288"/>
      </w:pPr>
      <w:rPr>
        <w:color w:val="3370FF"/>
        <w:sz w:val="22"/>
        <w:szCs w:val="22"/>
      </w:rPr>
    </w:lvl>
    <w:lvl w:ilvl="5" w:tentative="0">
      <w:start w:val="1"/>
      <w:numFmt w:val="lowerRoman"/>
      <w:lvlText w:val="%6."/>
      <w:lvlJc w:val="left"/>
      <w:pPr>
        <w:ind w:left="2448" w:hanging="288"/>
      </w:pPr>
      <w:rPr>
        <w:color w:val="3370FF"/>
        <w:sz w:val="22"/>
        <w:szCs w:val="22"/>
      </w:rPr>
    </w:lvl>
    <w:lvl w:ilvl="6" w:tentative="0">
      <w:start w:val="1"/>
      <w:numFmt w:val="decimal"/>
      <w:lvlText w:val="%7."/>
      <w:lvlJc w:val="left"/>
      <w:pPr>
        <w:ind w:left="2879" w:hanging="288"/>
      </w:pPr>
      <w:rPr>
        <w:color w:val="3370FF"/>
        <w:sz w:val="22"/>
        <w:szCs w:val="22"/>
      </w:rPr>
    </w:lvl>
    <w:lvl w:ilvl="7" w:tentative="0">
      <w:start w:val="1"/>
      <w:numFmt w:val="lowerLetter"/>
      <w:lvlText w:val="%8."/>
      <w:lvlJc w:val="left"/>
      <w:pPr>
        <w:ind w:left="3312" w:hanging="288"/>
      </w:pPr>
      <w:rPr>
        <w:color w:val="3370FF"/>
        <w:sz w:val="22"/>
        <w:szCs w:val="22"/>
      </w:rPr>
    </w:lvl>
    <w:lvl w:ilvl="8" w:tentative="0">
      <w:start w:val="1"/>
      <w:numFmt w:val="lowerRoman"/>
      <w:lvlText w:val="%9."/>
      <w:lvlJc w:val="left"/>
      <w:pPr>
        <w:ind w:left="3744" w:hanging="288"/>
      </w:pPr>
      <w:rPr>
        <w:color w:val="3370FF"/>
        <w:sz w:val="22"/>
        <w:szCs w:val="22"/>
      </w:r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  <w:num w:numId="5">
    <w:abstractNumId w:val="0"/>
    <w:lvlOverride w:ilvl="0">
      <w:startOverride w:val="1"/>
    </w:lvlOverride>
  </w:num>
  <w:num w:numId="6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</w:compat>
  <w:rsids>
    <w:rsidRoot w:val="00000000"/>
    <w:rsid w:val="0C9C03FE"/>
    <w:rsid w:val="1C76B320"/>
    <w:rsid w:val="F3AF91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1"/>
    <w:next w:val="1"/>
    <w:qFormat/>
    <w:uiPriority w:val="0"/>
    <w:pPr>
      <w:spacing w:before="380" w:after="140" w:line="288" w:lineRule="auto"/>
      <w:ind w:left="0"/>
      <w:jc w:val="left"/>
      <w:outlineLvl w:val="0"/>
    </w:pPr>
    <w:rPr>
      <w:rFonts w:ascii="Arial" w:hAnsi="Arial" w:eastAsia="等线" w:cs="Arial"/>
      <w:b/>
      <w:bCs/>
      <w:sz w:val="36"/>
      <w:szCs w:val="36"/>
    </w:rPr>
  </w:style>
  <w:style w:type="paragraph" w:styleId="3">
    <w:name w:val="heading 2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paragraph" w:styleId="4">
    <w:name w:val="heading 3"/>
    <w:next w:val="1"/>
    <w:qFormat/>
    <w:uiPriority w:val="0"/>
    <w:pPr>
      <w:spacing w:before="300" w:after="120" w:line="288" w:lineRule="auto"/>
      <w:ind w:left="0"/>
      <w:jc w:val="left"/>
      <w:outlineLvl w:val="2"/>
    </w:pPr>
    <w:rPr>
      <w:rFonts w:ascii="Arial" w:hAnsi="Arial" w:eastAsia="等线" w:cs="Arial"/>
      <w:b/>
      <w:bCs/>
      <w:sz w:val="30"/>
      <w:szCs w:val="30"/>
    </w:rPr>
  </w:style>
  <w:style w:type="paragraph" w:styleId="5">
    <w:name w:val="heading 4"/>
    <w:next w:val="1"/>
    <w:qFormat/>
    <w:uiPriority w:val="0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qFormat/>
    <w:uiPriority w:val="0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qFormat/>
    <w:uiPriority w:val="0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1">
    <w:name w:val="Default Paragraph Font"/>
    <w:semiHidden/>
    <w:uiPriority w:val="0"/>
  </w:style>
  <w:style w:type="table" w:default="1" w:styleId="10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footnote text"/>
    <w:link w:val="15"/>
    <w:semiHidden/>
    <w:unhideWhenUsed/>
    <w:uiPriority w:val="99"/>
    <w:pPr>
      <w:spacing w:after="0" w:line="240" w:lineRule="auto"/>
    </w:pPr>
    <w:rPr>
      <w:rFonts w:asciiTheme="minorHAnsi" w:hAnsiTheme="minorHAnsi" w:eastAsiaTheme="minorEastAsia" w:cstheme="minorBidi"/>
      <w:sz w:val="20"/>
      <w:szCs w:val="20"/>
    </w:rPr>
  </w:style>
  <w:style w:type="paragraph" w:styleId="9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character" w:styleId="12">
    <w:name w:val="Hyperlink"/>
    <w:unhideWhenUsed/>
    <w:uiPriority w:val="99"/>
    <w:rPr>
      <w:color w:val="0563C1"/>
      <w:u w:val="single"/>
    </w:rPr>
  </w:style>
  <w:style w:type="character" w:styleId="13">
    <w:name w:val="footnote reference"/>
    <w:semiHidden/>
    <w:unhideWhenUsed/>
    <w:uiPriority w:val="99"/>
    <w:rPr>
      <w:vertAlign w:val="superscript"/>
    </w:rPr>
  </w:style>
  <w:style w:type="paragraph" w:styleId="14">
    <w:name w:val="List Paragraph"/>
    <w:qFormat/>
    <w:uiPriority w:val="0"/>
    <w:rPr>
      <w:rFonts w:asciiTheme="minorHAnsi" w:hAnsiTheme="minorHAnsi" w:eastAsiaTheme="minorEastAsia" w:cstheme="minorBidi"/>
      <w:sz w:val="21"/>
      <w:szCs w:val="22"/>
    </w:rPr>
  </w:style>
  <w:style w:type="character" w:customStyle="1" w:styleId="15">
    <w:name w:val="Footnote Text Char"/>
    <w:link w:val="8"/>
    <w:semiHidden/>
    <w:unhideWhenUsed/>
    <w:uiPriority w:val="99"/>
    <w:rPr>
      <w:sz w:val="20"/>
      <w:szCs w:val="20"/>
    </w:rPr>
  </w:style>
  <w:style w:type="paragraph" w:customStyle="1" w:styleId="16">
    <w:name w:val="_Style 13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17">
    <w:name w:val="_Style 14"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1717</Words>
  <Characters>1915</Characters>
  <TotalTime>1</TotalTime>
  <ScaleCrop>false</ScaleCrop>
  <LinksUpToDate>false</LinksUpToDate>
  <CharactersWithSpaces>1980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2025-03-14T17:27:00Z</dcterms:created>
  <dc:creator>Un-named</dc:creator>
  <cp:lastModifiedBy>往事随风</cp:lastModifiedBy>
  <dcterms:modified xsi:type="dcterms:W3CDTF">2025-04-09T01:39:09Z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9C0FFFF5CEC3C2B7E1F5D367421D1C09_42</vt:lpwstr>
  </property>
  <property fmtid="{D5CDD505-2E9C-101B-9397-08002B2CF9AE}" pid="4" name="KSOTemplateDocerSaveRecord">
    <vt:lpwstr>eyJoZGlkIjoiZjljMzNlZTBkMmFlYjI5MWFiN2Q3M2E4NjUyNzVkMGQiLCJ1c2VySWQiOiI3MTUzNzczMzYifQ==</vt:lpwstr>
  </property>
</Properties>
</file>