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sz w:val="24"/>
        </w:rPr>
        <w:t>综合评分表：</w:t>
      </w:r>
    </w:p>
    <w:tbl>
      <w:tblPr>
        <w:tblStyle w:val="4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887"/>
        <w:gridCol w:w="896"/>
        <w:gridCol w:w="1535"/>
        <w:gridCol w:w="4985"/>
        <w:gridCol w:w="1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tblHeader/>
          <w:jc w:val="center"/>
        </w:trPr>
        <w:tc>
          <w:tcPr>
            <w:tcW w:w="4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序号</w:t>
            </w:r>
          </w:p>
        </w:tc>
        <w:tc>
          <w:tcPr>
            <w:tcW w:w="178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jc w:val="center"/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评分因素及权重</w:t>
            </w:r>
          </w:p>
        </w:tc>
        <w:tc>
          <w:tcPr>
            <w:tcW w:w="1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分值</w:t>
            </w:r>
          </w:p>
        </w:tc>
        <w:tc>
          <w:tcPr>
            <w:tcW w:w="498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评分标准</w:t>
            </w:r>
          </w:p>
        </w:tc>
        <w:tc>
          <w:tcPr>
            <w:tcW w:w="1169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jc w:val="center"/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1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417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105" w:firstLineChars="5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通用指标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(60分)</w:t>
            </w:r>
          </w:p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经营状况指标</w:t>
            </w: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(30分)</w:t>
            </w:r>
          </w:p>
        </w:tc>
        <w:tc>
          <w:tcPr>
            <w:tcW w:w="1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总行净资产总额（5分）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98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169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17" w:type="dxa"/>
            <w:vMerge w:val="continue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105" w:firstLineChars="5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总行资本充足率（5分）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98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总行不良贷款率（5分）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98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总行拨备覆盖率（5分）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98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总行流动性覆盖率（5分）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98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总行流动性比例（5分）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98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贡献度</w:t>
            </w: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(30分)</w:t>
            </w: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对德阳当地小微企业、三农、扶贫等贷款余额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（6分）</w:t>
            </w:r>
          </w:p>
        </w:tc>
        <w:tc>
          <w:tcPr>
            <w:tcW w:w="4985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对德阳当地贷款余额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（6分）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985" w:type="dxa"/>
            <w:noWrap w:val="0"/>
            <w:vAlign w:val="top"/>
          </w:tcPr>
          <w:p>
            <w:pPr>
              <w:wordWrap w:val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对德阳当地新增贷款额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（6分）</w:t>
            </w:r>
          </w:p>
        </w:tc>
        <w:tc>
          <w:tcPr>
            <w:tcW w:w="4985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对德阳当地国有企业贷款余额（6分）</w:t>
            </w:r>
          </w:p>
        </w:tc>
        <w:tc>
          <w:tcPr>
            <w:tcW w:w="498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德阳市财政非税收入代收额（6分）</w:t>
            </w:r>
          </w:p>
        </w:tc>
        <w:tc>
          <w:tcPr>
            <w:tcW w:w="498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169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417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87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自选指标</w:t>
            </w: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(40分)</w:t>
            </w:r>
          </w:p>
        </w:tc>
        <w:tc>
          <w:tcPr>
            <w:tcW w:w="896" w:type="dxa"/>
            <w:vMerge w:val="restart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服务水平</w:t>
            </w: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(30分)</w:t>
            </w:r>
          </w:p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服务水平及质量（6分）</w:t>
            </w:r>
          </w:p>
        </w:tc>
        <w:tc>
          <w:tcPr>
            <w:tcW w:w="4985" w:type="dxa"/>
            <w:noWrap w:val="0"/>
            <w:vAlign w:val="center"/>
          </w:tcPr>
          <w:p>
            <w:pPr>
              <w:wordWrap w:val="0"/>
              <w:rPr>
                <w:rFonts w:hint="eastAsia" w:ascii="宋体" w:hAnsi="宋体" w:cs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169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default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上门对账、传递票据等（6分）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4985" w:type="dxa"/>
            <w:noWrap w:val="0"/>
            <w:vAlign w:val="center"/>
          </w:tcPr>
          <w:p>
            <w:pPr>
              <w:wordWrap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承诺免开户等相关费用 （6分）</w:t>
            </w:r>
          </w:p>
        </w:tc>
        <w:tc>
          <w:tcPr>
            <w:tcW w:w="4985" w:type="dxa"/>
            <w:noWrap w:val="0"/>
            <w:vAlign w:val="top"/>
          </w:tcPr>
          <w:p>
            <w:pPr>
              <w:wordWrap w:val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kern w:val="2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kern w:val="2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成德同城化服务（6分）</w:t>
            </w:r>
          </w:p>
        </w:tc>
        <w:tc>
          <w:tcPr>
            <w:tcW w:w="4985" w:type="dxa"/>
            <w:noWrap w:val="0"/>
            <w:vAlign w:val="top"/>
          </w:tcPr>
          <w:p>
            <w:pPr>
              <w:wordWrap w:val="0"/>
              <w:rPr>
                <w:rFonts w:hint="eastAsia" w:ascii="宋体" w:hAnsi="宋体" w:cs="宋体"/>
                <w:szCs w:val="21"/>
              </w:rPr>
            </w:pPr>
          </w:p>
          <w:p>
            <w:pPr>
              <w:wordWrap w:val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银行业机构综合评价情况（6分）</w:t>
            </w:r>
          </w:p>
        </w:tc>
        <w:tc>
          <w:tcPr>
            <w:tcW w:w="4985" w:type="dxa"/>
            <w:noWrap w:val="0"/>
            <w:vAlign w:val="top"/>
          </w:tcPr>
          <w:p>
            <w:pPr>
              <w:wordWrap w:val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41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spacing w:line="360" w:lineRule="auto"/>
              <w:ind w:firstLine="0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87" w:type="dxa"/>
            <w:vMerge w:val="continue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利率水平</w:t>
            </w: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(10分)</w:t>
            </w:r>
          </w:p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535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存款利率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上浮率</w:t>
            </w:r>
          </w:p>
          <w:p>
            <w:pPr>
              <w:pStyle w:val="2"/>
              <w:tabs>
                <w:tab w:val="left" w:pos="600"/>
              </w:tabs>
              <w:ind w:firstLine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（10分）</w:t>
            </w:r>
          </w:p>
        </w:tc>
        <w:tc>
          <w:tcPr>
            <w:tcW w:w="4985" w:type="dxa"/>
            <w:noWrap w:val="0"/>
            <w:vAlign w:val="center"/>
          </w:tcPr>
          <w:p>
            <w:pPr>
              <w:wordWrap w:val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pStyle w:val="2"/>
              <w:tabs>
                <w:tab w:val="left" w:pos="600"/>
              </w:tabs>
              <w:ind w:firstLine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指标测算法：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顺向指标：某行某项指标得分=某行某项指标权重×该项指标分值。其中，某行某项指标权重=【某行某项指标-MIN(所有参选银行该项指标)】/【MAX(所有参选银行该项指标)-MIN(所有参选银行该项指标)】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逆向指标：某行某项指标得分=某行某项指标权重×该项指标分值。其中，某行某项指标权重=【某行某项指标-MAX(所有参选银行该项指标)】/【MIN(所有参选银行该项指标)-MAX(所有参选银行该项指标)】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2575B"/>
    <w:rsid w:val="0F4D70B0"/>
    <w:rsid w:val="25E2575B"/>
    <w:rsid w:val="4B7C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2020-05-15T05:34:00Z</dcterms:created>
  <dc:creator>shdy-gsb-89</dc:creator>
  <cp:lastModifiedBy>shdy-gsb-89</cp:lastModifiedBy>
  <dcterms:modified xsi:type="dcterms:W3CDTF">2020-05-15T08:45:14Z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